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19CA" w:rsidRDefault="002319CA" w:rsidP="00112923">
      <w:pPr>
        <w:spacing w:line="620" w:lineRule="exact"/>
        <w:jc w:val="center"/>
        <w:rPr>
          <w:rFonts w:ascii="仿宋_GB2312" w:eastAsia="仿宋_GB2312" w:hAnsi="方正小标宋简体" w:cs="仿宋_GB2312" w:hint="eastAsia"/>
          <w:sz w:val="32"/>
          <w:szCs w:val="32"/>
        </w:rPr>
      </w:pPr>
    </w:p>
    <w:p w:rsidR="00112923" w:rsidRDefault="00112923" w:rsidP="00112923">
      <w:pPr>
        <w:spacing w:line="620" w:lineRule="exact"/>
        <w:jc w:val="center"/>
        <w:rPr>
          <w:rFonts w:ascii="仿宋_GB2312" w:eastAsia="仿宋_GB2312" w:hAnsi="方正小标宋简体" w:cs="仿宋_GB2312" w:hint="eastAsia"/>
          <w:sz w:val="32"/>
          <w:szCs w:val="32"/>
        </w:rPr>
      </w:pPr>
    </w:p>
    <w:p w:rsidR="00112923" w:rsidRDefault="00112923" w:rsidP="00112923">
      <w:pPr>
        <w:spacing w:line="620" w:lineRule="exact"/>
        <w:jc w:val="center"/>
        <w:rPr>
          <w:rFonts w:ascii="仿宋_GB2312" w:eastAsia="仿宋_GB2312" w:hAnsi="方正小标宋简体" w:cs="仿宋_GB2312" w:hint="eastAsia"/>
          <w:sz w:val="32"/>
          <w:szCs w:val="32"/>
        </w:rPr>
      </w:pPr>
    </w:p>
    <w:p w:rsidR="00112923" w:rsidRDefault="00112923" w:rsidP="00112923">
      <w:pPr>
        <w:spacing w:line="620" w:lineRule="exact"/>
        <w:jc w:val="center"/>
        <w:rPr>
          <w:rFonts w:ascii="仿宋_GB2312" w:eastAsia="仿宋_GB2312" w:hAnsi="方正小标宋简体" w:cs="仿宋_GB2312"/>
          <w:sz w:val="32"/>
          <w:szCs w:val="32"/>
        </w:rPr>
      </w:pPr>
    </w:p>
    <w:p w:rsidR="002319CA" w:rsidRDefault="002319CA" w:rsidP="00112923">
      <w:pPr>
        <w:spacing w:line="620" w:lineRule="exact"/>
        <w:jc w:val="center"/>
        <w:rPr>
          <w:rFonts w:ascii="仿宋_GB2312" w:eastAsia="仿宋_GB2312" w:hAnsi="方正小标宋简体" w:cs="仿宋_GB2312"/>
          <w:sz w:val="32"/>
          <w:szCs w:val="32"/>
        </w:rPr>
      </w:pPr>
    </w:p>
    <w:p w:rsidR="002319CA" w:rsidRDefault="002319CA" w:rsidP="00066B17">
      <w:pPr>
        <w:spacing w:line="500" w:lineRule="exact"/>
        <w:jc w:val="center"/>
        <w:rPr>
          <w:rFonts w:ascii="仿宋_GB2312" w:eastAsia="仿宋_GB2312" w:hAnsi="宋体"/>
          <w:sz w:val="32"/>
          <w:szCs w:val="32"/>
        </w:rPr>
      </w:pPr>
      <w:r>
        <w:rPr>
          <w:rFonts w:ascii="仿宋_GB2312" w:eastAsia="仿宋_GB2312" w:hAnsi="方正小标宋简体" w:cs="仿宋_GB2312" w:hint="eastAsia"/>
          <w:sz w:val="32"/>
          <w:szCs w:val="32"/>
        </w:rPr>
        <w:t>滕商投字</w:t>
      </w:r>
      <w:r>
        <w:rPr>
          <w:rFonts w:ascii="仿宋_GB2312" w:eastAsia="仿宋_GB2312" w:cs="仿宋_GB2312" w:hint="eastAsia"/>
          <w:sz w:val="32"/>
          <w:szCs w:val="32"/>
        </w:rPr>
        <w:t>〔</w:t>
      </w:r>
      <w:r>
        <w:rPr>
          <w:rFonts w:ascii="仿宋_GB2312" w:eastAsia="仿宋_GB2312" w:cs="仿宋_GB2312"/>
          <w:sz w:val="32"/>
          <w:szCs w:val="32"/>
        </w:rPr>
        <w:t>20</w:t>
      </w:r>
      <w:r>
        <w:rPr>
          <w:rFonts w:ascii="仿宋_GB2312" w:eastAsia="仿宋_GB2312" w:cs="仿宋_GB2312" w:hint="eastAsia"/>
          <w:sz w:val="32"/>
          <w:szCs w:val="32"/>
        </w:rPr>
        <w:t>20〕</w:t>
      </w:r>
      <w:r>
        <w:rPr>
          <w:rFonts w:ascii="仿宋_GB2312" w:eastAsia="仿宋_GB2312" w:hAnsi="宋体" w:cs="仿宋_GB2312"/>
          <w:sz w:val="32"/>
          <w:szCs w:val="32"/>
        </w:rPr>
        <w:t>1</w:t>
      </w:r>
      <w:r>
        <w:rPr>
          <w:rFonts w:ascii="仿宋_GB2312" w:eastAsia="仿宋_GB2312" w:hAnsi="宋体" w:cs="仿宋_GB2312" w:hint="eastAsia"/>
          <w:sz w:val="32"/>
          <w:szCs w:val="32"/>
        </w:rPr>
        <w:t>号</w:t>
      </w:r>
    </w:p>
    <w:p w:rsidR="002319CA" w:rsidRDefault="002319CA" w:rsidP="00112923">
      <w:pPr>
        <w:spacing w:line="700" w:lineRule="exact"/>
        <w:jc w:val="center"/>
        <w:rPr>
          <w:rFonts w:ascii="方正小标宋简体" w:eastAsia="方正小标宋简体" w:hAnsi="方正小标宋简体" w:cs="方正小标宋简体"/>
          <w:sz w:val="44"/>
          <w:szCs w:val="44"/>
        </w:rPr>
      </w:pPr>
    </w:p>
    <w:p w:rsidR="007E4C67" w:rsidRDefault="007E4C67" w:rsidP="00066B17">
      <w:pPr>
        <w:spacing w:line="60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2020年全市商务和投资促进工作要点</w:t>
      </w:r>
    </w:p>
    <w:p w:rsidR="007E4C67" w:rsidRDefault="007E4C67" w:rsidP="00066B17">
      <w:pPr>
        <w:spacing w:line="600" w:lineRule="exact"/>
        <w:jc w:val="left"/>
        <w:rPr>
          <w:rFonts w:ascii="宋体" w:hAnsi="宋体" w:cs="Arial"/>
          <w:color w:val="333333"/>
          <w:kern w:val="0"/>
        </w:rPr>
      </w:pPr>
    </w:p>
    <w:p w:rsidR="007E4C67" w:rsidRDefault="007E4C67" w:rsidP="00066B17">
      <w:pPr>
        <w:spacing w:line="600" w:lineRule="exact"/>
        <w:ind w:firstLine="705"/>
        <w:rPr>
          <w:rFonts w:ascii="黑体" w:eastAsia="黑体"/>
          <w:bCs/>
          <w:sz w:val="32"/>
          <w:szCs w:val="32"/>
        </w:rPr>
      </w:pPr>
      <w:r>
        <w:rPr>
          <w:rFonts w:ascii="仿宋_GB2312" w:eastAsia="仿宋_GB2312" w:hAnsi="仿宋_GB2312" w:cs="仿宋_GB2312" w:hint="eastAsia"/>
          <w:color w:val="000000"/>
          <w:sz w:val="32"/>
          <w:szCs w:val="32"/>
        </w:rPr>
        <w:t>2020年是全面建成小康社会和“十三五”规划收官之年，也是我市聚焦产业振兴、加快高质量发展的开局之年</w:t>
      </w:r>
      <w:r>
        <w:rPr>
          <w:rFonts w:ascii="仿宋_GB2312" w:eastAsia="仿宋_GB2312" w:hint="eastAsia"/>
          <w:sz w:val="32"/>
          <w:szCs w:val="32"/>
        </w:rPr>
        <w:t>。</w:t>
      </w:r>
      <w:r>
        <w:rPr>
          <w:rFonts w:ascii="黑体" w:eastAsia="黑体" w:hAnsi="黑体" w:cs="黑体" w:hint="eastAsia"/>
          <w:sz w:val="32"/>
          <w:szCs w:val="32"/>
        </w:rPr>
        <w:t>工作总体要求是</w:t>
      </w:r>
      <w:r>
        <w:rPr>
          <w:rFonts w:ascii="仿宋_GB2312" w:eastAsia="仿宋_GB2312" w:hAnsi="仿宋_GB2312" w:cs="仿宋_GB2312" w:hint="eastAsia"/>
          <w:color w:val="000000"/>
          <w:sz w:val="32"/>
          <w:szCs w:val="32"/>
        </w:rPr>
        <w:t>：以习近平新时代中国特色社会主义思想为指导，全面落实市委、市政府关于聚焦产业振兴加快高质量发展精神，以我市被评为国家级电子商务进农村综合示范县、省级外贸转型升级试点县为契机，大力实施外贸新增长点培育、外资项目招引和淘宝镇村创建等三大专项行动，实现外向型经济提水平、电子商务上规模、内贸流通升档次，努力走出具有滕州特色的商务发展新路子，加快建设美德滕州、文明滕州、富强滕州。</w:t>
      </w:r>
      <w:r>
        <w:rPr>
          <w:rFonts w:ascii="黑体" w:eastAsia="黑体" w:hAnsi="黑体" w:cs="黑体" w:hint="eastAsia"/>
          <w:bCs/>
          <w:color w:val="000000"/>
          <w:sz w:val="32"/>
          <w:szCs w:val="32"/>
        </w:rPr>
        <w:t>预期目标是：</w:t>
      </w:r>
      <w:r>
        <w:rPr>
          <w:rFonts w:ascii="仿宋_GB2312" w:eastAsia="仿宋_GB2312" w:hAnsi="仿宋_GB2312" w:cs="仿宋_GB2312" w:hint="eastAsia"/>
          <w:color w:val="000000"/>
          <w:sz w:val="32"/>
          <w:szCs w:val="32"/>
          <w:shd w:val="clear" w:color="auto" w:fill="FFFFFF"/>
        </w:rPr>
        <w:t>力争</w:t>
      </w:r>
      <w:r>
        <w:rPr>
          <w:rFonts w:ascii="仿宋_GB2312" w:eastAsia="仿宋_GB2312" w:hAnsi="仿宋_GB2312" w:cs="仿宋_GB2312" w:hint="eastAsia"/>
          <w:color w:val="000000"/>
          <w:sz w:val="32"/>
          <w:szCs w:val="32"/>
        </w:rPr>
        <w:t>全年实际利用境外资金6000万美元；实现外贸进出口40亿元，增长6%；新增限额以上批零住餐企业25家；建设运营市级电子商务公共服务中心</w:t>
      </w:r>
      <w:r>
        <w:rPr>
          <w:rFonts w:ascii="仿宋_GB2312" w:eastAsia="仿宋_GB2312" w:hAnsi="仿宋_GB2312" w:cs="仿宋_GB2312" w:hint="eastAsia"/>
          <w:color w:val="000000"/>
          <w:sz w:val="32"/>
          <w:szCs w:val="32"/>
          <w:shd w:val="clear" w:color="auto" w:fill="FFFFFF"/>
        </w:rPr>
        <w:t>1处和村级电商服务点200个。</w:t>
      </w:r>
    </w:p>
    <w:p w:rsidR="007E4C67" w:rsidRDefault="007E4C67" w:rsidP="00CA7997">
      <w:pPr>
        <w:spacing w:line="580" w:lineRule="exact"/>
        <w:ind w:firstLineChars="200" w:firstLine="640"/>
        <w:rPr>
          <w:rFonts w:ascii="黑体" w:eastAsia="黑体"/>
          <w:bCs/>
          <w:sz w:val="32"/>
          <w:szCs w:val="32"/>
        </w:rPr>
      </w:pPr>
      <w:r>
        <w:rPr>
          <w:rFonts w:ascii="黑体" w:eastAsia="黑体" w:hint="eastAsia"/>
          <w:bCs/>
          <w:sz w:val="32"/>
          <w:szCs w:val="32"/>
        </w:rPr>
        <w:lastRenderedPageBreak/>
        <w:t>一、推动外经贸稳定发展，培育开放发展新增长极</w:t>
      </w:r>
    </w:p>
    <w:p w:rsidR="007E4C67" w:rsidRDefault="007E4C67" w:rsidP="00CA7997">
      <w:pPr>
        <w:pStyle w:val="a7"/>
        <w:widowControl w:val="0"/>
        <w:spacing w:before="0" w:beforeAutospacing="0" w:after="0" w:afterAutospacing="0" w:line="580" w:lineRule="exact"/>
        <w:ind w:firstLineChars="200" w:firstLine="643"/>
        <w:jc w:val="both"/>
        <w:rPr>
          <w:rStyle w:val="bumpedfont15"/>
          <w:rFonts w:ascii="仿宋_GB2312" w:eastAsia="仿宋_GB2312" w:hAnsi="Helvetica"/>
          <w:kern w:val="2"/>
          <w:sz w:val="32"/>
          <w:szCs w:val="32"/>
        </w:rPr>
      </w:pPr>
      <w:r>
        <w:rPr>
          <w:rFonts w:ascii="楷体_GB2312" w:eastAsia="楷体_GB2312" w:hAnsi="楷体_GB2312" w:cs="楷体_GB2312" w:hint="eastAsia"/>
          <w:b/>
          <w:bCs/>
          <w:kern w:val="18"/>
          <w:sz w:val="32"/>
          <w:szCs w:val="32"/>
        </w:rPr>
        <w:t>1、</w:t>
      </w:r>
      <w:r>
        <w:rPr>
          <w:rFonts w:ascii="楷体_GB2312" w:eastAsia="楷体_GB2312" w:hAnsi="楷体_GB2312" w:cs="楷体_GB2312"/>
          <w:b/>
          <w:bCs/>
          <w:kern w:val="18"/>
          <w:sz w:val="32"/>
          <w:szCs w:val="32"/>
        </w:rPr>
        <w:t>深入实施境外市场开拓计划。</w:t>
      </w:r>
      <w:r>
        <w:rPr>
          <w:rStyle w:val="bumpedfont15"/>
          <w:rFonts w:ascii="仿宋_GB2312" w:eastAsia="仿宋_GB2312" w:hAnsi="Helvetica"/>
          <w:kern w:val="2"/>
          <w:sz w:val="32"/>
          <w:szCs w:val="32"/>
        </w:rPr>
        <w:t>按照省、枣庄市2020年境外展会计划，</w:t>
      </w:r>
      <w:r>
        <w:rPr>
          <w:rStyle w:val="bumpedfont15"/>
          <w:rFonts w:ascii="仿宋_GB2312" w:eastAsia="仿宋_GB2312" w:hAnsi="Helvetica" w:hint="eastAsia"/>
          <w:kern w:val="2"/>
          <w:sz w:val="32"/>
          <w:szCs w:val="32"/>
        </w:rPr>
        <w:t>结合我市企业参展</w:t>
      </w:r>
      <w:r>
        <w:rPr>
          <w:rStyle w:val="bumpedfont15"/>
          <w:rFonts w:ascii="仿宋_GB2312" w:eastAsia="仿宋_GB2312" w:hAnsi="Helvetica"/>
          <w:kern w:val="2"/>
          <w:sz w:val="32"/>
          <w:szCs w:val="32"/>
        </w:rPr>
        <w:t>实际</w:t>
      </w:r>
      <w:r>
        <w:rPr>
          <w:rStyle w:val="bumpedfont15"/>
          <w:rFonts w:ascii="仿宋_GB2312" w:eastAsia="仿宋_GB2312" w:hAnsi="Helvetica" w:hint="eastAsia"/>
          <w:kern w:val="2"/>
          <w:sz w:val="32"/>
          <w:szCs w:val="32"/>
        </w:rPr>
        <w:t>，制定我市</w:t>
      </w:r>
      <w:r>
        <w:rPr>
          <w:rStyle w:val="bumpedfont15"/>
          <w:rFonts w:ascii="仿宋_GB2312" w:eastAsia="仿宋_GB2312" w:hAnsi="Helvetica"/>
          <w:kern w:val="2"/>
          <w:sz w:val="32"/>
          <w:szCs w:val="32"/>
        </w:rPr>
        <w:t>2020年</w:t>
      </w:r>
      <w:r>
        <w:rPr>
          <w:rStyle w:val="bumpedfont15"/>
          <w:rFonts w:ascii="仿宋_GB2312" w:eastAsia="仿宋_GB2312" w:hAnsi="Helvetica" w:hint="eastAsia"/>
          <w:kern w:val="2"/>
          <w:sz w:val="32"/>
          <w:szCs w:val="32"/>
        </w:rPr>
        <w:t>境内外重点展会计划，引导企业优化出口市场布局，深耕美、欧、日等传统市场，加大“一带一路”沿线国家和地区等新兴市场开拓力度。积极组织</w:t>
      </w:r>
      <w:r>
        <w:rPr>
          <w:rStyle w:val="bumpedfont15"/>
          <w:rFonts w:ascii="仿宋_GB2312" w:eastAsia="仿宋_GB2312" w:hAnsi="Helvetica"/>
          <w:kern w:val="2"/>
          <w:sz w:val="32"/>
          <w:szCs w:val="32"/>
        </w:rPr>
        <w:t>日盈食品、威达重工、三合机械、金晶玻璃等</w:t>
      </w:r>
      <w:r>
        <w:rPr>
          <w:rStyle w:val="bumpedfont15"/>
          <w:rFonts w:ascii="仿宋_GB2312" w:eastAsia="仿宋_GB2312" w:hAnsi="Helvetica" w:hint="eastAsia"/>
          <w:kern w:val="2"/>
          <w:sz w:val="32"/>
          <w:szCs w:val="32"/>
        </w:rPr>
        <w:t>企业参加山东品牌农产品东京展、俄罗斯国际机床展、</w:t>
      </w:r>
      <w:r>
        <w:rPr>
          <w:rStyle w:val="bumpedfont15"/>
          <w:rFonts w:ascii="仿宋_GB2312" w:eastAsia="仿宋_GB2312" w:hAnsi="Helvetica"/>
          <w:kern w:val="2"/>
          <w:sz w:val="32"/>
          <w:szCs w:val="32"/>
        </w:rPr>
        <w:t>德国杜塞尔多夫国际玻璃展、</w:t>
      </w:r>
      <w:r>
        <w:rPr>
          <w:rStyle w:val="bumpedfont15"/>
          <w:rFonts w:ascii="仿宋_GB2312" w:eastAsia="仿宋_GB2312" w:hAnsi="Helvetica" w:hint="eastAsia"/>
          <w:kern w:val="2"/>
          <w:sz w:val="32"/>
          <w:szCs w:val="32"/>
        </w:rPr>
        <w:t>广交会、华交会</w:t>
      </w:r>
      <w:r>
        <w:rPr>
          <w:rStyle w:val="bumpedfont15"/>
          <w:rFonts w:ascii="仿宋_GB2312" w:eastAsia="仿宋_GB2312" w:hAnsi="Helvetica"/>
          <w:kern w:val="2"/>
          <w:sz w:val="32"/>
          <w:szCs w:val="32"/>
        </w:rPr>
        <w:t>、中国国际进口博览会</w:t>
      </w:r>
      <w:r>
        <w:rPr>
          <w:rStyle w:val="bumpedfont15"/>
          <w:rFonts w:ascii="仿宋_GB2312" w:eastAsia="仿宋_GB2312" w:hAnsi="Helvetica" w:hint="eastAsia"/>
          <w:kern w:val="2"/>
          <w:sz w:val="32"/>
          <w:szCs w:val="32"/>
        </w:rPr>
        <w:t>等重点境内外展会，推动更多企业通过参展增加贸易机会、开拓国际市场。</w:t>
      </w:r>
    </w:p>
    <w:p w:rsidR="007E4C67" w:rsidRDefault="007E4C67" w:rsidP="00CA7997">
      <w:pPr>
        <w:pStyle w:val="a7"/>
        <w:widowControl w:val="0"/>
        <w:spacing w:before="0" w:beforeAutospacing="0" w:after="0" w:afterAutospacing="0" w:line="580" w:lineRule="exact"/>
        <w:ind w:firstLineChars="200" w:firstLine="643"/>
        <w:jc w:val="both"/>
        <w:rPr>
          <w:rStyle w:val="bumpedfont15"/>
          <w:rFonts w:ascii="仿宋_GB2312" w:eastAsia="仿宋_GB2312" w:hAnsi="Helvetica" w:cs="楷体_GB2312"/>
          <w:b/>
          <w:bCs/>
          <w:kern w:val="2"/>
          <w:sz w:val="32"/>
          <w:szCs w:val="32"/>
        </w:rPr>
      </w:pPr>
      <w:r>
        <w:rPr>
          <w:rFonts w:ascii="楷体_GB2312" w:eastAsia="楷体_GB2312" w:hAnsi="楷体_GB2312" w:cs="楷体_GB2312" w:hint="eastAsia"/>
          <w:b/>
          <w:bCs/>
          <w:kern w:val="18"/>
          <w:sz w:val="32"/>
          <w:szCs w:val="32"/>
        </w:rPr>
        <w:t>2、积极培育外贸新增长点。</w:t>
      </w:r>
      <w:r>
        <w:rPr>
          <w:rStyle w:val="bumpedfont15"/>
          <w:rFonts w:ascii="仿宋_GB2312" w:eastAsia="仿宋_GB2312" w:hAnsi="Helvetica" w:hint="eastAsia"/>
          <w:kern w:val="2"/>
          <w:sz w:val="32"/>
          <w:szCs w:val="32"/>
        </w:rPr>
        <w:t>加大外贸公司招引力度，培育一批有实力、有影响力的外向型企业，夯实外贸发展基础。加强对外向型企业的帮包服务，推动重点外贸企业规模逐步提升、中小外贸企业主体数量稳步增长、异地出口企业回归进程加快。推动腾达紧固科技、三合机械、辛化硅胶、东方钢帘线、艾菲尔管业等骨干外贸企业扩大进出口规模。协助联泓新材料公司、新东方新材料公司等做好催化剂、设备进口工作。加强各级外经贸扶持政策争取力度，助推企业借力政策加快发展。</w:t>
      </w:r>
    </w:p>
    <w:p w:rsidR="007E4C67" w:rsidRDefault="007E4C67" w:rsidP="00CA7997">
      <w:pPr>
        <w:pStyle w:val="a7"/>
        <w:widowControl w:val="0"/>
        <w:spacing w:before="0" w:beforeAutospacing="0" w:after="0" w:afterAutospacing="0" w:line="580" w:lineRule="exact"/>
        <w:ind w:firstLineChars="200" w:firstLine="643"/>
        <w:jc w:val="both"/>
        <w:rPr>
          <w:rStyle w:val="bumpedfont15"/>
          <w:rFonts w:ascii="仿宋_GB2312" w:eastAsia="仿宋_GB2312" w:hAnsi="Helvetica"/>
          <w:kern w:val="2"/>
          <w:sz w:val="32"/>
          <w:szCs w:val="32"/>
        </w:rPr>
      </w:pPr>
      <w:r>
        <w:rPr>
          <w:rFonts w:ascii="楷体_GB2312" w:eastAsia="楷体_GB2312" w:hAnsi="楷体_GB2312" w:cs="楷体_GB2312" w:hint="eastAsia"/>
          <w:b/>
          <w:bCs/>
          <w:kern w:val="18"/>
          <w:sz w:val="32"/>
          <w:szCs w:val="32"/>
        </w:rPr>
        <w:t>3、加快发展外贸新业态。</w:t>
      </w:r>
      <w:r>
        <w:rPr>
          <w:rStyle w:val="bumpedfont15"/>
          <w:rFonts w:ascii="仿宋_GB2312" w:eastAsia="仿宋_GB2312" w:hAnsi="Helvetica" w:hint="eastAsia"/>
          <w:sz w:val="32"/>
          <w:szCs w:val="32"/>
        </w:rPr>
        <w:t>推进阿里巴巴LBS跨境服务平台建设, 支持骏驰外</w:t>
      </w:r>
      <w:r>
        <w:rPr>
          <w:rStyle w:val="bumpedfont15"/>
          <w:rFonts w:ascii="仿宋_GB2312" w:eastAsia="仿宋_GB2312" w:hAnsi="Helvetica" w:hint="eastAsia"/>
          <w:kern w:val="2"/>
          <w:sz w:val="32"/>
          <w:szCs w:val="32"/>
        </w:rPr>
        <w:t>贸综合服务等企业做大做强，引导更多经营主体开展跨境电子商务，支持华瀚轻工业品做大公共海外仓，鼓励三合机械设立公共海外仓。积极引进具备较强实力和供应链服务能力的外贸综合服务企业，为中小微企业在通关、</w:t>
      </w:r>
      <w:r>
        <w:rPr>
          <w:rStyle w:val="bumpedfont15"/>
          <w:rFonts w:ascii="仿宋_GB2312" w:eastAsia="仿宋_GB2312" w:hAnsi="Helvetica" w:hint="eastAsia"/>
          <w:kern w:val="2"/>
          <w:sz w:val="32"/>
          <w:szCs w:val="32"/>
        </w:rPr>
        <w:lastRenderedPageBreak/>
        <w:t>物流、退税、融资、保险等方面提供全流程“一条龙”服务，把中小微企业出口潜力转化为出口实绩。发挥山东化工技师学院省级跨境电商实训基地的阵地作用，推动校企合作，开展跨境电商实务培训，加快培养跨境电商实用人才。</w:t>
      </w:r>
    </w:p>
    <w:p w:rsidR="007E4C67" w:rsidRDefault="007E4C67" w:rsidP="00CA7997">
      <w:pPr>
        <w:pStyle w:val="a7"/>
        <w:widowControl w:val="0"/>
        <w:spacing w:before="0" w:beforeAutospacing="0" w:after="0" w:afterAutospacing="0" w:line="580" w:lineRule="exact"/>
        <w:ind w:firstLineChars="200" w:firstLine="643"/>
        <w:jc w:val="both"/>
        <w:rPr>
          <w:rStyle w:val="bumpedfont15"/>
          <w:rFonts w:ascii="仿宋_GB2312" w:eastAsia="仿宋_GB2312" w:hAnsi="Helvetica"/>
          <w:sz w:val="32"/>
          <w:szCs w:val="32"/>
        </w:rPr>
      </w:pPr>
      <w:r>
        <w:rPr>
          <w:rFonts w:ascii="楷体_GB2312" w:eastAsia="楷体_GB2312" w:hAnsi="楷体_GB2312" w:cs="楷体_GB2312" w:hint="eastAsia"/>
          <w:b/>
          <w:bCs/>
          <w:kern w:val="18"/>
          <w:sz w:val="32"/>
          <w:szCs w:val="32"/>
        </w:rPr>
        <w:t>4、推动服务贸易加快发展。</w:t>
      </w:r>
      <w:r>
        <w:rPr>
          <w:rStyle w:val="bumpedfont15"/>
          <w:rFonts w:ascii="仿宋_GB2312" w:eastAsia="仿宋_GB2312" w:hAnsi="Helvetica" w:hint="eastAsia"/>
          <w:sz w:val="32"/>
          <w:szCs w:val="32"/>
        </w:rPr>
        <w:t>依托文化产业优势，扶持华瀚轻工业品、盛泉工艺品等骨干文化企业提档升级，加大国际市</w:t>
      </w:r>
      <w:r>
        <w:rPr>
          <w:rStyle w:val="bumpedfont15"/>
          <w:rFonts w:ascii="仿宋_GB2312" w:eastAsia="仿宋_GB2312" w:hAnsi="Helvetica" w:hint="eastAsia"/>
          <w:kern w:val="2"/>
          <w:sz w:val="32"/>
          <w:szCs w:val="32"/>
        </w:rPr>
        <w:t>场开拓力度。进一步加强对技术进口相关政策的宣传力度，推动企业积极开展技术进口。认真开展服务贸易统计普查，借助企业调研走访等多种方式，积极宣传、引导有条件的企业开展服务贸易业务，提升我市服务贸易规模。</w:t>
      </w:r>
    </w:p>
    <w:p w:rsidR="007E4C67" w:rsidRDefault="007E4C67" w:rsidP="00CA7997">
      <w:pPr>
        <w:pStyle w:val="a7"/>
        <w:widowControl w:val="0"/>
        <w:spacing w:before="0" w:beforeAutospacing="0" w:after="0" w:afterAutospacing="0" w:line="580" w:lineRule="exact"/>
        <w:ind w:firstLineChars="200" w:firstLine="643"/>
        <w:jc w:val="both"/>
        <w:rPr>
          <w:rStyle w:val="bumpedfont15"/>
          <w:rFonts w:ascii="仿宋_GB2312" w:eastAsia="仿宋_GB2312" w:hAnsi="Helvetica"/>
          <w:kern w:val="2"/>
          <w:sz w:val="32"/>
          <w:szCs w:val="32"/>
        </w:rPr>
      </w:pPr>
      <w:r>
        <w:rPr>
          <w:rFonts w:ascii="楷体_GB2312" w:eastAsia="楷体_GB2312" w:hAnsi="楷体_GB2312" w:cs="楷体_GB2312" w:hint="eastAsia"/>
          <w:b/>
          <w:bCs/>
          <w:kern w:val="18"/>
          <w:sz w:val="32"/>
          <w:szCs w:val="32"/>
        </w:rPr>
        <w:t>5、积极融入“一带一路”建设。</w:t>
      </w:r>
      <w:r>
        <w:rPr>
          <w:rStyle w:val="bumpedfont15"/>
          <w:rFonts w:ascii="仿宋_GB2312" w:eastAsia="仿宋_GB2312" w:hAnsi="Helvetica" w:hint="eastAsia"/>
          <w:sz w:val="32"/>
          <w:szCs w:val="32"/>
        </w:rPr>
        <w:t>鼓励有条件的企业到境外建立资源能源基地、生产基地、研发设计机构、营销网络等，与境外开展国际科技合作，在开放合作中提升产业发展水平。重点推动雄狮建筑装</w:t>
      </w:r>
      <w:r>
        <w:rPr>
          <w:rStyle w:val="bumpedfont15"/>
          <w:rFonts w:ascii="仿宋_GB2312" w:eastAsia="仿宋_GB2312" w:hAnsi="Helvetica" w:hint="eastAsia"/>
          <w:kern w:val="2"/>
          <w:sz w:val="32"/>
          <w:szCs w:val="32"/>
        </w:rPr>
        <w:t>饰、三维钢结构、润龙集团等企业“走出去”承揽工程，带动产品出口和劳务输出；跟踪推进辛化硅胶公司在英国设立创新创业研究院项目；稳步推进艾菲尔管业美国公司、腾达紧固科技香港公司的销售运营。</w:t>
      </w:r>
    </w:p>
    <w:p w:rsidR="007E4C67" w:rsidRDefault="007E4C67" w:rsidP="00CA7997">
      <w:pPr>
        <w:pStyle w:val="a7"/>
        <w:widowControl w:val="0"/>
        <w:spacing w:before="0" w:beforeAutospacing="0" w:after="0" w:afterAutospacing="0" w:line="580" w:lineRule="exact"/>
        <w:ind w:firstLineChars="200" w:firstLine="643"/>
        <w:jc w:val="both"/>
        <w:rPr>
          <w:rStyle w:val="bumpedfont15"/>
          <w:rFonts w:ascii="仿宋_GB2312" w:eastAsia="仿宋_GB2312" w:hAnsi="Helvetica"/>
          <w:kern w:val="2"/>
          <w:sz w:val="32"/>
          <w:szCs w:val="32"/>
        </w:rPr>
      </w:pPr>
      <w:r>
        <w:rPr>
          <w:rFonts w:ascii="楷体_GB2312" w:eastAsia="楷体_GB2312" w:hAnsi="楷体_GB2312" w:cs="楷体_GB2312" w:hint="eastAsia"/>
          <w:b/>
          <w:bCs/>
          <w:kern w:val="18"/>
          <w:sz w:val="32"/>
          <w:szCs w:val="32"/>
        </w:rPr>
        <w:t>6、加快推进对外开放平台建设。</w:t>
      </w:r>
      <w:r>
        <w:rPr>
          <w:rStyle w:val="bumpedfont15"/>
          <w:rFonts w:ascii="仿宋_GB2312" w:eastAsia="仿宋_GB2312" w:hAnsi="Helvetica" w:hint="eastAsia"/>
          <w:kern w:val="2"/>
          <w:sz w:val="32"/>
          <w:szCs w:val="32"/>
        </w:rPr>
        <w:t>以省级外贸转型升级试点县建设为契机，加快培育外向型经济发展新动能，实现产业特色鲜明、自主品牌优势突出、业态模式创新发展、外贸综合竞争力全面提升的试点任务目标。积极做好保税物流中心（B型）、中欧班列项目推进工作，提升我市对外开放水平和区域竞争力，全力打造对外开放新高地。</w:t>
      </w:r>
    </w:p>
    <w:p w:rsidR="007E4C67" w:rsidRDefault="007E4C67" w:rsidP="00CA7997">
      <w:pPr>
        <w:pStyle w:val="a7"/>
        <w:widowControl w:val="0"/>
        <w:spacing w:before="0" w:beforeAutospacing="0" w:after="0" w:afterAutospacing="0" w:line="580" w:lineRule="exact"/>
        <w:ind w:firstLineChars="200" w:firstLine="640"/>
        <w:rPr>
          <w:rFonts w:ascii="黑体" w:eastAsia="黑体" w:hAnsi="Calibri" w:cs="Times New Roman"/>
          <w:bCs/>
          <w:kern w:val="2"/>
          <w:sz w:val="32"/>
          <w:szCs w:val="32"/>
        </w:rPr>
      </w:pPr>
      <w:r>
        <w:rPr>
          <w:rFonts w:ascii="黑体" w:eastAsia="黑体" w:hAnsi="Calibri" w:cs="Times New Roman" w:hint="eastAsia"/>
          <w:bCs/>
          <w:kern w:val="2"/>
          <w:sz w:val="32"/>
          <w:szCs w:val="32"/>
        </w:rPr>
        <w:lastRenderedPageBreak/>
        <w:t>二、提高利用外资质量，厚植开放发展新优势</w:t>
      </w:r>
    </w:p>
    <w:p w:rsidR="007E4C67" w:rsidRDefault="007E4C67" w:rsidP="00CA7997">
      <w:pPr>
        <w:adjustRightInd w:val="0"/>
        <w:snapToGrid w:val="0"/>
        <w:spacing w:line="580" w:lineRule="exact"/>
        <w:ind w:firstLineChars="200" w:firstLine="643"/>
        <w:rPr>
          <w:rStyle w:val="bumpedfont15"/>
          <w:rFonts w:ascii="仿宋_GB2312" w:eastAsia="仿宋_GB2312" w:hAnsi="Helvetica" w:cs="宋体"/>
          <w:sz w:val="32"/>
          <w:szCs w:val="32"/>
        </w:rPr>
      </w:pPr>
      <w:r>
        <w:rPr>
          <w:rFonts w:ascii="楷体_GB2312" w:eastAsia="楷体_GB2312" w:hAnsi="楷体_GB2312" w:cs="楷体_GB2312" w:hint="eastAsia"/>
          <w:b/>
          <w:bCs/>
          <w:kern w:val="18"/>
          <w:sz w:val="32"/>
          <w:szCs w:val="32"/>
        </w:rPr>
        <w:t>7、着力拓宽外资招引渠道。</w:t>
      </w:r>
      <w:r>
        <w:rPr>
          <w:rStyle w:val="bumpedfont15"/>
          <w:rFonts w:ascii="仿宋_GB2312" w:eastAsia="仿宋_GB2312" w:hAnsi="Helvetica" w:cs="宋体" w:hint="eastAsia"/>
          <w:sz w:val="32"/>
          <w:szCs w:val="32"/>
        </w:rPr>
        <w:t>围绕重点区域、重点产业、重点群体，合理编排我市外资招商计划。境外，围绕巩固港台，突破欧美，深化日韩，有针对性地开展各类招商活动。境内，主动承接外资项目的产业转移，利用深圳驻点招商站，主动赴苏南、珠三角等外资集中区域开展外资内招活动。筹备参加“粤港澳山东周”“欧洲商务周”、香港小分队招商、日韩小分队招商等重点活动，发挥基金平台优势，以大型跨国公司、世界500强、行业领军企业为主攻目标，着力招引一批带动能力强、投资规模大的重点外资项目，形成“招一个、引一串、带一片”的“乘法效应”。</w:t>
      </w:r>
    </w:p>
    <w:p w:rsidR="007E4C67" w:rsidRDefault="007E4C67" w:rsidP="00CA7997">
      <w:pPr>
        <w:adjustRightInd w:val="0"/>
        <w:spacing w:line="580" w:lineRule="exact"/>
        <w:ind w:firstLineChars="200" w:firstLine="643"/>
        <w:rPr>
          <w:rFonts w:ascii="仿宋_GB2312" w:eastAsia="仿宋_GB2312" w:cs="??_GB2312"/>
          <w:bCs/>
          <w:sz w:val="32"/>
          <w:szCs w:val="32"/>
        </w:rPr>
      </w:pPr>
      <w:r>
        <w:rPr>
          <w:rFonts w:ascii="楷体_GB2312" w:eastAsia="楷体_GB2312" w:hint="eastAsia"/>
          <w:b/>
          <w:bCs/>
          <w:sz w:val="32"/>
          <w:szCs w:val="32"/>
        </w:rPr>
        <w:t>8、着力提高外资项目规模、质量。</w:t>
      </w:r>
      <w:r>
        <w:rPr>
          <w:rFonts w:ascii="仿宋_GB2312" w:eastAsia="仿宋_GB2312" w:hAnsi="宋体" w:cs="宋体" w:hint="eastAsia"/>
          <w:kern w:val="0"/>
          <w:sz w:val="32"/>
          <w:szCs w:val="32"/>
        </w:rPr>
        <w:t>丰富利用外资方式，强化项目带动资金到账。在谈项目抓签约，根据摸查的外资在谈项目情况，做好在谈项目的推进服务工作，促进项目早签约。新批项目抓开工，</w:t>
      </w:r>
      <w:r>
        <w:rPr>
          <w:rFonts w:ascii="仿宋_GB2312" w:eastAsia="仿宋_GB2312" w:cs="??_GB2312" w:hint="eastAsia"/>
          <w:bCs/>
          <w:sz w:val="32"/>
          <w:szCs w:val="32"/>
        </w:rPr>
        <w:t>重点推进正威华能（山东）新材料科技有限公司引进外资，培育新的利用外资增长点；</w:t>
      </w:r>
      <w:r>
        <w:rPr>
          <w:rFonts w:ascii="仿宋_GB2312" w:eastAsia="仿宋_GB2312" w:hAnsi="宋体" w:cs="宋体" w:hint="eastAsia"/>
          <w:kern w:val="0"/>
          <w:sz w:val="32"/>
          <w:szCs w:val="32"/>
        </w:rPr>
        <w:t>以绿之能环保水处理剂、诺邦力清洁能源设备等新备案外资项目为抓手，加快推进项目资金到位。落地项目抓增资，重点做好凯莱能源物</w:t>
      </w:r>
      <w:r>
        <w:rPr>
          <w:rFonts w:ascii="仿宋_GB2312" w:eastAsia="仿宋_GB2312" w:cs="??_GB2312" w:hint="eastAsia"/>
          <w:bCs/>
          <w:sz w:val="32"/>
          <w:szCs w:val="32"/>
        </w:rPr>
        <w:t>流、凯源实业等增资项目的跟进服务工作，向存量要增量，推动增资金额尽快到账。优质项目抓转型，鼓励我市优质内资企业通过股权并购等形式，吸引外资参股。</w:t>
      </w:r>
    </w:p>
    <w:p w:rsidR="007E4C67" w:rsidRDefault="007E4C67" w:rsidP="00CA7997">
      <w:pPr>
        <w:autoSpaceDE w:val="0"/>
        <w:adjustRightInd w:val="0"/>
        <w:snapToGrid w:val="0"/>
        <w:spacing w:line="580" w:lineRule="exact"/>
        <w:ind w:firstLineChars="200" w:firstLine="643"/>
        <w:rPr>
          <w:rFonts w:ascii="仿宋_GB2312" w:eastAsia="仿宋_GB2312" w:hAnsi="宋体" w:cs="仿宋_GB2312"/>
          <w:sz w:val="32"/>
          <w:szCs w:val="32"/>
        </w:rPr>
      </w:pPr>
      <w:r>
        <w:rPr>
          <w:rFonts w:ascii="楷体_GB2312" w:eastAsia="楷体_GB2312" w:hint="eastAsia"/>
          <w:b/>
          <w:bCs/>
          <w:sz w:val="32"/>
          <w:szCs w:val="32"/>
        </w:rPr>
        <w:t>9、着力瞄准“十强”产业引资。</w:t>
      </w:r>
      <w:r>
        <w:rPr>
          <w:rFonts w:ascii="仿宋_GB2312" w:eastAsia="仿宋_GB2312" w:hAnsi="华文中宋" w:hint="eastAsia"/>
          <w:sz w:val="32"/>
          <w:szCs w:val="32"/>
        </w:rPr>
        <w:t>精准对标省</w:t>
      </w:r>
      <w:r w:rsidR="00B11144">
        <w:rPr>
          <w:rFonts w:ascii="仿宋_GB2312" w:eastAsia="仿宋_GB2312" w:hAnsi="华文中宋" w:hint="eastAsia"/>
          <w:sz w:val="32"/>
          <w:szCs w:val="32"/>
        </w:rPr>
        <w:t>“十强”</w:t>
      </w:r>
      <w:r>
        <w:rPr>
          <w:rFonts w:ascii="仿宋_GB2312" w:eastAsia="仿宋_GB2312" w:hAnsi="华文中宋" w:hint="eastAsia"/>
          <w:sz w:val="32"/>
          <w:szCs w:val="32"/>
        </w:rPr>
        <w:t>产业，围绕</w:t>
      </w:r>
      <w:r>
        <w:rPr>
          <w:rFonts w:ascii="仿宋_GB2312" w:eastAsia="仿宋_GB2312" w:hint="eastAsia"/>
          <w:sz w:val="32"/>
          <w:szCs w:val="32"/>
        </w:rPr>
        <w:t>我市</w:t>
      </w:r>
      <w:r>
        <w:rPr>
          <w:rFonts w:ascii="仿宋_GB2312" w:eastAsia="仿宋_GB2312" w:hAnsi="宋体" w:cs="仿宋_GB2312" w:hint="eastAsia"/>
          <w:sz w:val="32"/>
          <w:szCs w:val="32"/>
        </w:rPr>
        <w:t>高端装备、高端化工、新能源新材料、新一代信</w:t>
      </w:r>
      <w:r>
        <w:rPr>
          <w:rFonts w:ascii="仿宋_GB2312" w:eastAsia="仿宋_GB2312" w:hAnsi="宋体" w:cs="仿宋_GB2312" w:hint="eastAsia"/>
          <w:sz w:val="32"/>
          <w:szCs w:val="32"/>
        </w:rPr>
        <w:lastRenderedPageBreak/>
        <w:t>息技术、现代高效农业、医养健康、文创旅游、现代服务业</w:t>
      </w:r>
      <w:r>
        <w:rPr>
          <w:rFonts w:ascii="仿宋_GB2312" w:eastAsia="仿宋_GB2312" w:hint="eastAsia"/>
          <w:sz w:val="32"/>
          <w:szCs w:val="32"/>
        </w:rPr>
        <w:t>等优势主导产业，加强外资项目招引。</w:t>
      </w:r>
      <w:r>
        <w:rPr>
          <w:rFonts w:ascii="仿宋_GB2312" w:eastAsia="仿宋_GB2312" w:hAnsi="仿宋_GB2312" w:cs="仿宋_GB2312" w:hint="eastAsia"/>
          <w:sz w:val="32"/>
          <w:szCs w:val="32"/>
        </w:rPr>
        <w:t>梳理出重点推进“十强”产业外资储备项目，明确专人靠上服务，对项目从设立、备案到资金到账全程跟踪帮扶，加大对外资走向的引导，发挥外资在</w:t>
      </w:r>
      <w:r>
        <w:rPr>
          <w:rFonts w:ascii="仿宋_GB2312" w:eastAsia="仿宋_GB2312" w:hint="eastAsia"/>
          <w:sz w:val="32"/>
          <w:szCs w:val="32"/>
        </w:rPr>
        <w:t>提升产业层次、壮大簇群经济、</w:t>
      </w:r>
      <w:r>
        <w:rPr>
          <w:rFonts w:ascii="仿宋_GB2312" w:eastAsia="仿宋_GB2312" w:hAnsi="宋体" w:cs="仿宋_GB2312" w:hint="eastAsia"/>
          <w:sz w:val="32"/>
          <w:szCs w:val="32"/>
        </w:rPr>
        <w:t>推动经济高质量发展的积极作用。</w:t>
      </w:r>
    </w:p>
    <w:p w:rsidR="007E4C67" w:rsidRDefault="007E4C67" w:rsidP="00CA7997">
      <w:pPr>
        <w:adjustRightInd w:val="0"/>
        <w:snapToGrid w:val="0"/>
        <w:spacing w:line="580" w:lineRule="exact"/>
        <w:ind w:firstLineChars="200" w:firstLine="643"/>
        <w:rPr>
          <w:rFonts w:ascii="仿宋_GB2312" w:eastAsia="仿宋_GB2312" w:hAnsi="仿宋_GB2312" w:cs="仿宋_GB2312"/>
          <w:sz w:val="32"/>
          <w:szCs w:val="32"/>
        </w:rPr>
      </w:pPr>
      <w:r>
        <w:rPr>
          <w:rFonts w:ascii="楷体_GB2312" w:eastAsia="楷体_GB2312" w:hint="eastAsia"/>
          <w:b/>
          <w:bCs/>
          <w:sz w:val="32"/>
          <w:szCs w:val="32"/>
        </w:rPr>
        <w:t>10、着力提升外资工作水平。</w:t>
      </w:r>
      <w:r>
        <w:rPr>
          <w:rFonts w:ascii="仿宋_GB2312" w:eastAsia="仿宋_GB2312" w:hAnsi="仿宋_GB2312" w:cs="仿宋_GB2312" w:hint="eastAsia"/>
          <w:sz w:val="32"/>
          <w:szCs w:val="32"/>
        </w:rPr>
        <w:t>加强外资资源的调研摸底。重点针对全市已批、在建、在谈、招商推介外资项目进行调研摸底，兜清外资底数，策划包装一批重点外资招商推介项目，积极探索有效外资工作措施，深化落实稳外资，为完成全年任务目标奠定坚实基础。</w:t>
      </w:r>
    </w:p>
    <w:p w:rsidR="007E4C67" w:rsidRDefault="007E4C67" w:rsidP="00CA7997">
      <w:pPr>
        <w:spacing w:line="580" w:lineRule="exact"/>
        <w:ind w:firstLineChars="200" w:firstLine="643"/>
        <w:rPr>
          <w:rFonts w:ascii="黑体" w:eastAsia="黑体"/>
          <w:bCs/>
          <w:sz w:val="32"/>
          <w:szCs w:val="32"/>
        </w:rPr>
      </w:pPr>
      <w:r>
        <w:rPr>
          <w:rFonts w:ascii="楷体_GB2312" w:eastAsia="楷体_GB2312" w:hAnsi="楷体_GB2312" w:cs="楷体_GB2312" w:hint="eastAsia"/>
          <w:b/>
          <w:bCs/>
          <w:kern w:val="18"/>
          <w:sz w:val="32"/>
          <w:szCs w:val="32"/>
        </w:rPr>
        <w:t>11、着力营造利用外资良好氛围。</w:t>
      </w:r>
      <w:r>
        <w:rPr>
          <w:rFonts w:ascii="仿宋_GB2312" w:eastAsia="仿宋_GB2312" w:hAnsi="宋体" w:cs="宋体" w:hint="eastAsia"/>
          <w:color w:val="000000"/>
          <w:sz w:val="32"/>
          <w:szCs w:val="32"/>
          <w:shd w:val="clear" w:color="auto" w:fill="FFFFFF"/>
        </w:rPr>
        <w:t>优化服务，</w:t>
      </w:r>
      <w:r>
        <w:rPr>
          <w:rFonts w:ascii="仿宋_GB2312" w:eastAsia="仿宋_GB2312" w:hAnsi="仿宋_GB2312" w:cs="仿宋_GB2312" w:hint="eastAsia"/>
          <w:sz w:val="32"/>
          <w:szCs w:val="32"/>
        </w:rPr>
        <w:t>积极推进外商投资企业服务大使制度</w:t>
      </w:r>
      <w:r>
        <w:rPr>
          <w:rStyle w:val="bumpedfont15"/>
          <w:rFonts w:ascii="仿宋_GB2312" w:eastAsia="仿宋_GB2312" w:hAnsi="Helvetica" w:hint="eastAsia"/>
          <w:sz w:val="32"/>
          <w:szCs w:val="32"/>
        </w:rPr>
        <w:t>，</w:t>
      </w:r>
      <w:r>
        <w:rPr>
          <w:rFonts w:ascii="仿宋_GB2312" w:eastAsia="仿宋_GB2312" w:hAnsi="仿宋_GB2312" w:cs="仿宋_GB2312"/>
          <w:sz w:val="32"/>
          <w:szCs w:val="32"/>
        </w:rPr>
        <w:t>全面启动外商投资企业服务大使服务跟踪和管理平台</w:t>
      </w:r>
      <w:r>
        <w:rPr>
          <w:rFonts w:ascii="仿宋_GB2312" w:eastAsia="仿宋_GB2312" w:hAnsi="仿宋_GB2312" w:cs="仿宋_GB2312" w:hint="eastAsia"/>
          <w:sz w:val="32"/>
          <w:szCs w:val="32"/>
        </w:rPr>
        <w:t>，为外资企业提供优质、高效、便捷服务。落实利用外资工作联席会议制度，积极联合发改、市场监管、四</w:t>
      </w:r>
      <w:r>
        <w:rPr>
          <w:rFonts w:ascii="仿宋_GB2312" w:eastAsia="仿宋_GB2312" w:cs="??_GB2312" w:hint="eastAsia"/>
          <w:sz w:val="32"/>
          <w:szCs w:val="32"/>
        </w:rPr>
        <w:t>大国有银行等部门缩短外资项目审核办理时限，与人行外管部门等单位实时联动，</w:t>
      </w:r>
      <w:r>
        <w:rPr>
          <w:rFonts w:ascii="仿宋_GB2312" w:eastAsia="仿宋_GB2312" w:hint="eastAsia"/>
          <w:kern w:val="0"/>
          <w:sz w:val="32"/>
          <w:szCs w:val="32"/>
        </w:rPr>
        <w:t>全程跟踪服务，</w:t>
      </w:r>
      <w:r>
        <w:rPr>
          <w:rFonts w:ascii="仿宋_GB2312" w:eastAsia="仿宋_GB2312" w:cs="??_GB2312" w:hint="eastAsia"/>
          <w:sz w:val="32"/>
          <w:szCs w:val="32"/>
        </w:rPr>
        <w:t>确保外资及时进账入库，</w:t>
      </w:r>
      <w:r>
        <w:rPr>
          <w:rFonts w:ascii="仿宋_GB2312" w:eastAsia="仿宋_GB2312" w:hAnsi="宋体" w:cs="宋体" w:hint="eastAsia"/>
          <w:sz w:val="32"/>
          <w:szCs w:val="32"/>
        </w:rPr>
        <w:t>打造一流营商环境，</w:t>
      </w:r>
      <w:r>
        <w:rPr>
          <w:rFonts w:ascii="仿宋_GB2312" w:eastAsia="仿宋_GB2312" w:hint="eastAsia"/>
          <w:sz w:val="32"/>
          <w:szCs w:val="32"/>
        </w:rPr>
        <w:t>有效推动利用外资工作平稳发展。</w:t>
      </w:r>
    </w:p>
    <w:p w:rsidR="007E4C67" w:rsidRDefault="007E4C67" w:rsidP="00CA7997">
      <w:pPr>
        <w:spacing w:line="580" w:lineRule="exact"/>
        <w:ind w:firstLineChars="200" w:firstLine="640"/>
        <w:rPr>
          <w:rFonts w:ascii="黑体" w:eastAsia="黑体" w:hAnsi="Calibri"/>
          <w:bCs/>
          <w:sz w:val="32"/>
          <w:szCs w:val="32"/>
        </w:rPr>
      </w:pPr>
      <w:r>
        <w:rPr>
          <w:rFonts w:ascii="黑体" w:eastAsia="黑体" w:hAnsi="Calibri" w:hint="eastAsia"/>
          <w:bCs/>
          <w:sz w:val="32"/>
          <w:szCs w:val="32"/>
        </w:rPr>
        <w:t>三、大力发展电子商务，汇聚开放发展新动能</w:t>
      </w:r>
    </w:p>
    <w:p w:rsidR="007E4C67" w:rsidRDefault="007E4C67" w:rsidP="00CA7997">
      <w:pPr>
        <w:spacing w:line="580" w:lineRule="exact"/>
        <w:ind w:firstLineChars="200" w:firstLine="643"/>
        <w:rPr>
          <w:rFonts w:ascii="仿宋_GB2312" w:eastAsia="仿宋_GB2312" w:hAnsi="仿宋_GB2312" w:cs="仿宋_GB2312"/>
          <w:sz w:val="32"/>
          <w:szCs w:val="32"/>
        </w:rPr>
      </w:pPr>
      <w:r>
        <w:rPr>
          <w:rFonts w:ascii="楷体_GB2312" w:eastAsia="楷体_GB2312" w:hAnsi="楷体_GB2312" w:cs="楷体_GB2312" w:hint="eastAsia"/>
          <w:b/>
          <w:bCs/>
          <w:kern w:val="18"/>
          <w:sz w:val="32"/>
          <w:szCs w:val="32"/>
        </w:rPr>
        <w:t>12、积极推进国家电子商务进农村综合示范工作。</w:t>
      </w:r>
      <w:r>
        <w:rPr>
          <w:rFonts w:ascii="仿宋_GB2312" w:eastAsia="仿宋_GB2312" w:hAnsi="仿宋_GB2312" w:cs="仿宋_GB2312" w:hint="eastAsia"/>
          <w:sz w:val="32"/>
          <w:szCs w:val="32"/>
        </w:rPr>
        <w:t>以开展国家电子商务进农村综合示范工作为契机，大力发展农村电子商务，重点抓好农村电子商务公共服务体系完善、农产品上行水平提升、农村电商三级物流配送体系完善、农村电子商务</w:t>
      </w:r>
      <w:r>
        <w:rPr>
          <w:rFonts w:ascii="仿宋_GB2312" w:eastAsia="仿宋_GB2312" w:hAnsi="仿宋_GB2312" w:cs="仿宋_GB2312" w:hint="eastAsia"/>
          <w:sz w:val="32"/>
          <w:szCs w:val="32"/>
        </w:rPr>
        <w:lastRenderedPageBreak/>
        <w:t>培训及电商扶贫等工作，全年高标准完成建设运营市级电子商务公共服务中心1处，建设村级电商服务点200个，电商培训4000人次以上。</w:t>
      </w:r>
    </w:p>
    <w:p w:rsidR="007E4C67" w:rsidRDefault="007E4C67" w:rsidP="00CA7997">
      <w:pPr>
        <w:spacing w:line="580" w:lineRule="exact"/>
        <w:ind w:firstLineChars="200" w:firstLine="643"/>
        <w:rPr>
          <w:rFonts w:ascii="仿宋_GB2312" w:eastAsia="仿宋_GB2312" w:hAnsi="仿宋_GB2312" w:cs="仿宋_GB2312"/>
          <w:sz w:val="32"/>
          <w:szCs w:val="32"/>
        </w:rPr>
      </w:pPr>
      <w:r>
        <w:rPr>
          <w:rFonts w:ascii="楷体_GB2312" w:eastAsia="楷体_GB2312" w:hAnsi="楷体_GB2312" w:cs="楷体_GB2312" w:hint="eastAsia"/>
          <w:b/>
          <w:bCs/>
          <w:kern w:val="18"/>
          <w:sz w:val="32"/>
          <w:szCs w:val="32"/>
        </w:rPr>
        <w:t>13、进一步加强电商园区建设。</w:t>
      </w:r>
      <w:r>
        <w:rPr>
          <w:rFonts w:ascii="仿宋_GB2312" w:eastAsia="仿宋_GB2312" w:hAnsi="仿宋_GB2312" w:cs="仿宋_GB2312" w:hint="eastAsia"/>
          <w:sz w:val="32"/>
          <w:szCs w:val="32"/>
        </w:rPr>
        <w:t>按照“市场运作、资源整合、体系健全、功能完善、服务规范”的原则，积极招引市级电子商务综合产业园项目，打造集商品贸易、平台运营、物流配送、融资支持、软件开发、人才培训等多功能、多业态为一体的电商综合产业园。深入实施鲁华、嘉誉、美铭、惠众等电商创业园提升工程，吸引国内知名电子商务企业和配套服务企业入驻，推动电子商务产业集聚发展。鼓励引导有条件的园区、企业争创国家、省电子商务示范基地(企业)，努力打造一批高标准的电商示范基地、示范企业，引领全市电子商务快速健康发展。</w:t>
      </w:r>
    </w:p>
    <w:p w:rsidR="007E4C67" w:rsidRDefault="007E4C67" w:rsidP="00CA7997">
      <w:pPr>
        <w:spacing w:line="580" w:lineRule="exact"/>
        <w:ind w:firstLineChars="200" w:firstLine="643"/>
        <w:rPr>
          <w:rFonts w:ascii="仿宋_GB2312" w:eastAsia="仿宋_GB2312" w:hAnsi="仿宋_GB2312" w:cs="仿宋_GB2312"/>
          <w:sz w:val="32"/>
          <w:szCs w:val="32"/>
        </w:rPr>
      </w:pPr>
      <w:r>
        <w:rPr>
          <w:rFonts w:ascii="楷体_GB2312" w:eastAsia="楷体_GB2312" w:hAnsi="楷体_GB2312" w:cs="楷体_GB2312" w:hint="eastAsia"/>
          <w:b/>
          <w:bCs/>
          <w:kern w:val="18"/>
          <w:sz w:val="32"/>
          <w:szCs w:val="32"/>
        </w:rPr>
        <w:t>14、深化电子商务普及应用。</w:t>
      </w:r>
      <w:r>
        <w:rPr>
          <w:rFonts w:ascii="仿宋_GB2312" w:eastAsia="仿宋_GB2312" w:hAnsi="仿宋_GB2312" w:cs="仿宋_GB2312" w:hint="eastAsia"/>
          <w:sz w:val="32"/>
          <w:szCs w:val="32"/>
        </w:rPr>
        <w:t>实施电商进企业工程。积极引进或搭建机械机床、童车童床、不锈钢制品、滕州马铃薯等优势产业特色电商交易平台，培育行业电商龙头企业。提升商贸企业及专业市场电子商务应用水平。鼓励传统商贸企业建立或利用网上销售平台开展电子商务，实现网上销售与门店销售互动发展，培育有影响力的网上批发企业，促进“线上市场”和“线下市场”良性融合发展。</w:t>
      </w:r>
    </w:p>
    <w:p w:rsidR="007E4C67" w:rsidRDefault="007E4C67" w:rsidP="00CA7997">
      <w:pPr>
        <w:spacing w:line="580" w:lineRule="exact"/>
        <w:ind w:firstLineChars="200" w:firstLine="643"/>
        <w:rPr>
          <w:rFonts w:ascii="仿宋_GB2312" w:eastAsia="仿宋_GB2312" w:hAnsi="仿宋_GB2312" w:cs="仿宋_GB2312"/>
          <w:sz w:val="32"/>
          <w:szCs w:val="32"/>
        </w:rPr>
      </w:pPr>
      <w:r>
        <w:rPr>
          <w:rFonts w:ascii="楷体_GB2312" w:eastAsia="楷体_GB2312" w:hAnsi="楷体_GB2312" w:cs="楷体_GB2312" w:hint="eastAsia"/>
          <w:b/>
          <w:bCs/>
          <w:kern w:val="18"/>
          <w:sz w:val="32"/>
          <w:szCs w:val="32"/>
        </w:rPr>
        <w:t>15、继续组织开展淘宝镇、村创建工作。</w:t>
      </w:r>
      <w:r>
        <w:rPr>
          <w:rFonts w:ascii="仿宋_GB2312" w:eastAsia="仿宋_GB2312" w:hAnsi="仿宋_GB2312" w:cs="仿宋_GB2312" w:hint="eastAsia"/>
          <w:sz w:val="32"/>
          <w:szCs w:val="32"/>
        </w:rPr>
        <w:t>加强与镇街和阿里巴巴集团本地团队的沟通和衔接，指导协助符合条件的镇、村通过创建淘宝镇、淘宝村，形成电商发展集聚效应。扎</w:t>
      </w:r>
      <w:r>
        <w:rPr>
          <w:rFonts w:ascii="仿宋_GB2312" w:eastAsia="仿宋_GB2312" w:hAnsi="仿宋_GB2312" w:cs="仿宋_GB2312" w:hint="eastAsia"/>
          <w:sz w:val="32"/>
          <w:szCs w:val="32"/>
        </w:rPr>
        <w:lastRenderedPageBreak/>
        <w:t>实做好电商行业扶贫工作，配合市扶贫办做好电子商务行业扶贫项目评审、验收工作。</w:t>
      </w:r>
    </w:p>
    <w:p w:rsidR="007E4C67" w:rsidRDefault="007E4C67" w:rsidP="00CA7997">
      <w:pPr>
        <w:spacing w:line="580" w:lineRule="exact"/>
        <w:ind w:firstLineChars="200" w:firstLine="643"/>
        <w:rPr>
          <w:rFonts w:ascii="仿宋_GB2312" w:eastAsia="仿宋_GB2312" w:hAnsi="仿宋_GB2312" w:cs="仿宋_GB2312"/>
          <w:sz w:val="32"/>
          <w:szCs w:val="32"/>
        </w:rPr>
      </w:pPr>
      <w:r>
        <w:rPr>
          <w:rFonts w:ascii="楷体_GB2312" w:eastAsia="楷体_GB2312" w:hAnsi="楷体_GB2312" w:cs="楷体_GB2312" w:hint="eastAsia"/>
          <w:b/>
          <w:bCs/>
          <w:kern w:val="18"/>
          <w:sz w:val="32"/>
          <w:szCs w:val="32"/>
        </w:rPr>
        <w:t>16、大力发展直播经济。</w:t>
      </w:r>
      <w:r>
        <w:rPr>
          <w:rFonts w:ascii="仿宋_GB2312" w:eastAsia="仿宋_GB2312" w:hAnsi="仿宋_GB2312" w:cs="仿宋_GB2312" w:hint="eastAsia"/>
          <w:sz w:val="32"/>
          <w:szCs w:val="32"/>
        </w:rPr>
        <w:t>培育扶植直播产业链,对接阿里巴巴集团、煎饼控股集团、红鹦鹉文化传媒等公司，做好直播经济，大力培育农业农村电商新主体，帮助培养本地的网红主播，直播推介家乡农产品，积极推动农产品电商直播自运营。</w:t>
      </w:r>
    </w:p>
    <w:p w:rsidR="007E4C67" w:rsidRDefault="007E4C67" w:rsidP="00CA7997">
      <w:pPr>
        <w:spacing w:line="580" w:lineRule="exact"/>
        <w:ind w:firstLineChars="200" w:firstLine="640"/>
        <w:rPr>
          <w:rFonts w:ascii="黑体" w:eastAsia="黑体"/>
          <w:bCs/>
          <w:sz w:val="32"/>
          <w:szCs w:val="32"/>
        </w:rPr>
      </w:pPr>
      <w:r>
        <w:rPr>
          <w:rFonts w:ascii="黑体" w:eastAsia="黑体" w:hint="eastAsia"/>
          <w:bCs/>
          <w:sz w:val="32"/>
          <w:szCs w:val="32"/>
        </w:rPr>
        <w:t>四、提升商贸流通水平，激发开放发展内生动力</w:t>
      </w:r>
    </w:p>
    <w:p w:rsidR="007E4C67" w:rsidRDefault="007E4C67" w:rsidP="00CA7997">
      <w:pPr>
        <w:spacing w:line="580" w:lineRule="exact"/>
        <w:ind w:firstLineChars="200" w:firstLine="643"/>
        <w:rPr>
          <w:rFonts w:ascii="仿宋_GB2312" w:eastAsia="仿宋_GB2312" w:hAnsi="宋体"/>
          <w:sz w:val="32"/>
          <w:szCs w:val="32"/>
        </w:rPr>
      </w:pPr>
      <w:r>
        <w:rPr>
          <w:rFonts w:ascii="楷体_GB2312" w:eastAsia="楷体_GB2312" w:hAnsi="楷体_GB2312" w:cs="楷体_GB2312" w:hint="eastAsia"/>
          <w:b/>
          <w:bCs/>
          <w:kern w:val="18"/>
          <w:sz w:val="32"/>
          <w:szCs w:val="32"/>
        </w:rPr>
        <w:t>17、不断健全完善商贸流通网络。</w:t>
      </w:r>
      <w:r>
        <w:rPr>
          <w:rFonts w:ascii="仿宋_GB2312" w:eastAsia="仿宋_GB2312" w:hAnsi="宋体" w:hint="eastAsia"/>
          <w:sz w:val="32"/>
          <w:szCs w:val="32"/>
        </w:rPr>
        <w:t>按照商务部、省商务厅农商互联大会的要求，全面启动农商互联，打造上联生产、下联消费的新型农产品供应链。依托三兴、鲁华、嘉誉三家公司加快冷链物流系统建设，建立覆盖农产品初加工、储藏、运输、批发、零售环境的冷链物流体系。支持万达、银座、贵诚等商业综合体引进优质品牌，打造城市核心商圈。</w:t>
      </w:r>
    </w:p>
    <w:p w:rsidR="007E4C67" w:rsidRDefault="007E4C67" w:rsidP="00CA7997">
      <w:pPr>
        <w:spacing w:line="580" w:lineRule="exact"/>
        <w:ind w:firstLineChars="200" w:firstLine="643"/>
        <w:rPr>
          <w:rFonts w:ascii="华文仿宋" w:eastAsia="仿宋_GB2312" w:hAnsi="华文仿宋"/>
          <w:color w:val="000000"/>
          <w:sz w:val="32"/>
          <w:szCs w:val="32"/>
        </w:rPr>
      </w:pPr>
      <w:r>
        <w:rPr>
          <w:rFonts w:ascii="楷体_GB2312" w:eastAsia="楷体_GB2312" w:hAnsi="楷体_GB2312" w:cs="楷体_GB2312" w:hint="eastAsia"/>
          <w:b/>
          <w:bCs/>
          <w:kern w:val="18"/>
          <w:sz w:val="32"/>
          <w:szCs w:val="32"/>
        </w:rPr>
        <w:t>18、积极培育限额以上批零住餐企业。</w:t>
      </w:r>
      <w:r>
        <w:rPr>
          <w:rFonts w:ascii="仿宋_GB2312" w:eastAsia="仿宋_GB2312" w:hAnsi="黑体" w:cs="黑体" w:hint="eastAsia"/>
          <w:sz w:val="32"/>
          <w:szCs w:val="32"/>
        </w:rPr>
        <w:t>加强协调服务，做好企业培育工作，</w:t>
      </w:r>
      <w:r>
        <w:rPr>
          <w:rFonts w:ascii="华文仿宋" w:eastAsia="华文仿宋" w:hAnsi="华文仿宋" w:hint="eastAsia"/>
          <w:color w:val="000000"/>
          <w:sz w:val="32"/>
          <w:szCs w:val="32"/>
          <w:shd w:val="clear" w:color="auto" w:fill="FFFFFF"/>
        </w:rPr>
        <w:t>对符合条件的限额以上批零业企业靠上服务，扎实做好入库材料的准备工作，提高企业入库率和精准率。</w:t>
      </w:r>
      <w:r>
        <w:rPr>
          <w:rFonts w:ascii="仿宋_GB2312" w:eastAsia="仿宋_GB2312" w:hAnsi="仿宋_GB2312" w:cs="仿宋_GB2312" w:hint="eastAsia"/>
          <w:snapToGrid w:val="0"/>
          <w:color w:val="000000"/>
          <w:sz w:val="32"/>
          <w:szCs w:val="32"/>
        </w:rPr>
        <w:t>积极协同统计等部门，对各镇街新增限上批发零售企业和住宿餐饮企业入库情况，实行月调度、月通报，对工作进展缓慢的，进行专项督导，强力推进限额以上批零住餐企业入库工作。</w:t>
      </w:r>
    </w:p>
    <w:p w:rsidR="007E4C67" w:rsidRDefault="007E4C67" w:rsidP="00CA7997">
      <w:pPr>
        <w:shd w:val="clear" w:color="auto" w:fill="FFFFFF"/>
        <w:spacing w:line="580" w:lineRule="exact"/>
        <w:ind w:firstLineChars="200" w:firstLine="643"/>
        <w:jc w:val="left"/>
        <w:outlineLvl w:val="0"/>
        <w:rPr>
          <w:rFonts w:ascii="仿宋_GB2312" w:eastAsia="仿宋_GB2312"/>
          <w:color w:val="333333"/>
          <w:sz w:val="32"/>
          <w:szCs w:val="32"/>
        </w:rPr>
      </w:pPr>
      <w:r>
        <w:rPr>
          <w:rFonts w:ascii="楷体_GB2312" w:eastAsia="楷体_GB2312" w:hAnsi="楷体_GB2312" w:cs="楷体_GB2312" w:hint="eastAsia"/>
          <w:b/>
          <w:bCs/>
          <w:kern w:val="18"/>
          <w:sz w:val="32"/>
          <w:szCs w:val="32"/>
        </w:rPr>
        <w:t>19、加快老字号传承创新。</w:t>
      </w:r>
      <w:r>
        <w:rPr>
          <w:rFonts w:ascii="华文仿宋" w:eastAsia="华文仿宋" w:hAnsi="华文仿宋" w:hint="eastAsia"/>
          <w:sz w:val="32"/>
          <w:szCs w:val="32"/>
        </w:rPr>
        <w:t>组织企业积极申报“山东老字号”“枣庄老字号”，</w:t>
      </w:r>
      <w:r>
        <w:rPr>
          <w:rFonts w:ascii="仿宋_GB2312" w:eastAsia="仿宋_GB2312" w:hint="eastAsia"/>
          <w:color w:val="333333"/>
          <w:sz w:val="32"/>
          <w:szCs w:val="32"/>
        </w:rPr>
        <w:t>推动老字号“走出去”</w:t>
      </w:r>
      <w:r>
        <w:rPr>
          <w:rFonts w:ascii="华文仿宋" w:eastAsia="华文仿宋" w:hAnsi="华文仿宋" w:hint="eastAsia"/>
          <w:sz w:val="32"/>
          <w:szCs w:val="32"/>
        </w:rPr>
        <w:t>，组织4家“山东老字号”及10家“枣庄老字号”企业积极参加山东品牌中华行、中华老字号（山东）博览会等展会，积极展示老字号品牌</w:t>
      </w:r>
      <w:r>
        <w:rPr>
          <w:rFonts w:ascii="华文仿宋" w:eastAsia="华文仿宋" w:hAnsi="华文仿宋" w:hint="eastAsia"/>
          <w:sz w:val="32"/>
          <w:szCs w:val="32"/>
        </w:rPr>
        <w:lastRenderedPageBreak/>
        <w:t>形象，</w:t>
      </w:r>
      <w:r>
        <w:rPr>
          <w:rFonts w:ascii="仿宋_GB2312" w:eastAsia="仿宋_GB2312" w:hint="eastAsia"/>
          <w:color w:val="333333"/>
          <w:sz w:val="32"/>
          <w:szCs w:val="32"/>
        </w:rPr>
        <w:t>提升我市老字号的知名度和影响力。</w:t>
      </w:r>
    </w:p>
    <w:p w:rsidR="007E4C67" w:rsidRDefault="007E4C67" w:rsidP="00CA7997">
      <w:pPr>
        <w:autoSpaceDE w:val="0"/>
        <w:autoSpaceDN w:val="0"/>
        <w:adjustRightInd w:val="0"/>
        <w:spacing w:line="580" w:lineRule="exact"/>
        <w:ind w:firstLineChars="196" w:firstLine="630"/>
        <w:jc w:val="left"/>
        <w:rPr>
          <w:rFonts w:ascii="仿宋_GB2312" w:eastAsia="仿宋_GB2312" w:hAnsi="仿宋_GB2312" w:cs="仿宋_GB2312"/>
          <w:sz w:val="32"/>
          <w:szCs w:val="32"/>
        </w:rPr>
      </w:pPr>
      <w:r>
        <w:rPr>
          <w:rFonts w:ascii="楷体_GB2312" w:eastAsia="楷体_GB2312" w:hAnsi="楷体_GB2312" w:cs="楷体_GB2312" w:hint="eastAsia"/>
          <w:b/>
          <w:bCs/>
          <w:kern w:val="18"/>
          <w:sz w:val="32"/>
          <w:szCs w:val="32"/>
        </w:rPr>
        <w:t>20、加强报废汽车拆解和二手车市场管理。</w:t>
      </w:r>
      <w:r>
        <w:rPr>
          <w:rFonts w:ascii="仿宋_GB2312" w:eastAsia="仿宋_GB2312" w:hAnsi="仿宋_GB2312" w:cs="仿宋_GB2312" w:hint="eastAsia"/>
          <w:sz w:val="32"/>
          <w:szCs w:val="32"/>
        </w:rPr>
        <w:t>规范二手车市场、二手车经销企业、汽车</w:t>
      </w:r>
      <w:r>
        <w:rPr>
          <w:rFonts w:ascii="仿宋_GB2312" w:eastAsia="仿宋_GB2312" w:hAnsi="仿宋_GB2312" w:cs="仿宋_GB2312"/>
          <w:sz w:val="32"/>
          <w:szCs w:val="32"/>
        </w:rPr>
        <w:t>4S</w:t>
      </w:r>
      <w:r>
        <w:rPr>
          <w:rFonts w:ascii="仿宋_GB2312" w:eastAsia="仿宋_GB2312" w:hAnsi="仿宋_GB2312" w:cs="仿宋_GB2312" w:hint="eastAsia"/>
          <w:sz w:val="32"/>
          <w:szCs w:val="32"/>
        </w:rPr>
        <w:t>店等汽车流通行业经营行为，</w:t>
      </w:r>
      <w:r>
        <w:rPr>
          <w:rFonts w:ascii="仿宋_GB2312" w:eastAsia="仿宋_GB2312" w:hint="eastAsia"/>
          <w:color w:val="000000"/>
          <w:sz w:val="32"/>
          <w:szCs w:val="32"/>
        </w:rPr>
        <w:t>认真落实报废机动车回收管理办法实施细则、报废汽车回收拆解企业技术规范、二手车交易管理办法，规范行业管理。</w:t>
      </w:r>
    </w:p>
    <w:p w:rsidR="007E4C67" w:rsidRDefault="007E4C67" w:rsidP="00CA7997">
      <w:pPr>
        <w:autoSpaceDE w:val="0"/>
        <w:autoSpaceDN w:val="0"/>
        <w:adjustRightInd w:val="0"/>
        <w:spacing w:line="580" w:lineRule="exact"/>
        <w:ind w:firstLineChars="196" w:firstLine="630"/>
        <w:jc w:val="left"/>
        <w:rPr>
          <w:rFonts w:ascii="仿宋_GB2312" w:eastAsia="仿宋_GB2312"/>
          <w:color w:val="333333"/>
          <w:sz w:val="32"/>
          <w:szCs w:val="32"/>
        </w:rPr>
      </w:pPr>
      <w:r>
        <w:rPr>
          <w:rFonts w:ascii="楷体_GB2312" w:eastAsia="楷体_GB2312" w:hAnsi="楷体_GB2312" w:cs="楷体_GB2312" w:hint="eastAsia"/>
          <w:b/>
          <w:bCs/>
          <w:kern w:val="18"/>
          <w:sz w:val="32"/>
          <w:szCs w:val="32"/>
        </w:rPr>
        <w:t>21、做好商贸流通企业安全监督检查。</w:t>
      </w:r>
      <w:r>
        <w:rPr>
          <w:rFonts w:ascii="仿宋_GB2312" w:eastAsia="仿宋_GB2312" w:hint="eastAsia"/>
          <w:color w:val="333333"/>
          <w:sz w:val="32"/>
          <w:szCs w:val="32"/>
        </w:rPr>
        <w:t>加强对大型商超、专业市场等商贸流通企业的安全管理，依法开展安全监督检查工作，及时消除事故隐患，坚决杜绝重大安全事故和死亡事故的发生。加大市场监测力度，重点监测元旦、春节、清明、端午、中秋等节日市场情况，分析市场运行、商品供求状况。健全重要生活必需品储备管理以及重要消费品市场供应应急管理机制。</w:t>
      </w:r>
    </w:p>
    <w:p w:rsidR="007E4C67" w:rsidRDefault="007E4C67" w:rsidP="00CA7997">
      <w:pPr>
        <w:spacing w:line="580" w:lineRule="exact"/>
        <w:ind w:firstLineChars="200" w:firstLine="643"/>
        <w:rPr>
          <w:rFonts w:ascii="仿宋_GB2312" w:eastAsia="仿宋_GB2312" w:hAnsi="黑体" w:cs="黑体"/>
          <w:sz w:val="32"/>
          <w:szCs w:val="32"/>
        </w:rPr>
      </w:pPr>
      <w:r>
        <w:rPr>
          <w:rFonts w:ascii="楷体_GB2312" w:eastAsia="楷体_GB2312" w:hAnsi="楷体_GB2312" w:cs="楷体_GB2312" w:hint="eastAsia"/>
          <w:b/>
          <w:bCs/>
          <w:kern w:val="18"/>
          <w:sz w:val="32"/>
          <w:szCs w:val="32"/>
        </w:rPr>
        <w:t>22、加强成品油零售企业监督管理。</w:t>
      </w:r>
      <w:r>
        <w:rPr>
          <w:rFonts w:ascii="仿宋_GB2312" w:eastAsia="仿宋_GB2312" w:hint="eastAsia"/>
          <w:color w:val="333333"/>
          <w:sz w:val="32"/>
          <w:szCs w:val="32"/>
        </w:rPr>
        <w:t>做好成品油零售企业新建、变更、年检工作。积极配合相关部门对非法加油站点进行严厉打击，积极配合生态环境等部门做好成品油流通的大气污染防治工作。</w:t>
      </w:r>
    </w:p>
    <w:p w:rsidR="007E4C67" w:rsidRDefault="007E4C67" w:rsidP="00CA7997">
      <w:pPr>
        <w:spacing w:line="580" w:lineRule="exact"/>
        <w:ind w:firstLineChars="200" w:firstLine="640"/>
        <w:rPr>
          <w:rFonts w:ascii="仿宋_GB2312" w:eastAsia="仿宋_GB2312" w:hAnsi="黑体" w:cs="黑体"/>
          <w:sz w:val="32"/>
          <w:szCs w:val="32"/>
        </w:rPr>
      </w:pPr>
      <w:r>
        <w:rPr>
          <w:rFonts w:ascii="黑体" w:eastAsia="黑体" w:hint="eastAsia"/>
          <w:bCs/>
          <w:sz w:val="32"/>
          <w:szCs w:val="32"/>
        </w:rPr>
        <w:t>五、加强自身建设，提升服务开放发展的能力和水平</w:t>
      </w:r>
    </w:p>
    <w:p w:rsidR="007E4C67" w:rsidRDefault="007E4C67" w:rsidP="00CA7997">
      <w:pPr>
        <w:spacing w:line="580" w:lineRule="exact"/>
        <w:ind w:firstLineChars="200" w:firstLine="643"/>
        <w:rPr>
          <w:rFonts w:ascii="仿宋_GB2312" w:eastAsia="仿宋_GB2312" w:hAnsi="仿宋_GB2312" w:cs="仿宋_GB2312"/>
          <w:sz w:val="32"/>
          <w:szCs w:val="32"/>
        </w:rPr>
      </w:pPr>
      <w:r>
        <w:rPr>
          <w:rFonts w:ascii="楷体_GB2312" w:eastAsia="楷体_GB2312" w:hAnsi="楷体_GB2312" w:cs="楷体_GB2312" w:hint="eastAsia"/>
          <w:b/>
          <w:bCs/>
          <w:kern w:val="18"/>
          <w:sz w:val="32"/>
          <w:szCs w:val="32"/>
        </w:rPr>
        <w:t>23、加强开放型经济人才队伍建设。</w:t>
      </w:r>
      <w:r>
        <w:rPr>
          <w:rFonts w:ascii="仿宋_GB2312" w:eastAsia="仿宋_GB2312" w:hAnsi="宋体" w:cs="宋体" w:hint="eastAsia"/>
          <w:color w:val="000000"/>
          <w:sz w:val="32"/>
          <w:szCs w:val="32"/>
          <w:shd w:val="clear" w:color="auto" w:fill="FFFFFF"/>
        </w:rPr>
        <w:t>加大开放型人才培育力度，灵活运用“双招双引”专题培训、政策宣讲、产业研讨、专家讲座等方式，加强人才培养。抓住国家级电子商务进农村示范县建设契机，</w:t>
      </w:r>
      <w:r>
        <w:rPr>
          <w:rFonts w:ascii="仿宋_GB2312" w:eastAsia="仿宋_GB2312" w:hAnsi="黑体" w:cs="黑体" w:hint="eastAsia"/>
          <w:sz w:val="32"/>
          <w:szCs w:val="32"/>
        </w:rPr>
        <w:t>组</w:t>
      </w:r>
      <w:r>
        <w:rPr>
          <w:rFonts w:ascii="仿宋_GB2312" w:eastAsia="仿宋_GB2312" w:hAnsi="仿宋_GB2312" w:cs="仿宋_GB2312" w:hint="eastAsia"/>
          <w:sz w:val="32"/>
          <w:szCs w:val="32"/>
        </w:rPr>
        <w:t>织开展多层次、多渠道电商专业人才培训，提高政府、企业等各行业人员应用电子商务能力。立足服务企业高质量发展，</w:t>
      </w:r>
      <w:r>
        <w:rPr>
          <w:rFonts w:ascii="仿宋_GB2312" w:eastAsia="仿宋_GB2312" w:hAnsi="宋体" w:cs="宋体" w:hint="eastAsia"/>
          <w:color w:val="000000"/>
          <w:sz w:val="32"/>
          <w:szCs w:val="32"/>
          <w:shd w:val="clear" w:color="auto" w:fill="FFFFFF"/>
        </w:rPr>
        <w:t>拓宽引才渠道，力争在引进高层次人才</w:t>
      </w:r>
      <w:r>
        <w:rPr>
          <w:rFonts w:ascii="仿宋_GB2312" w:eastAsia="仿宋_GB2312" w:hAnsi="宋体" w:cs="宋体" w:hint="eastAsia"/>
          <w:color w:val="000000"/>
          <w:sz w:val="32"/>
          <w:szCs w:val="32"/>
          <w:shd w:val="clear" w:color="auto" w:fill="FFFFFF"/>
        </w:rPr>
        <w:lastRenderedPageBreak/>
        <w:t>上实现新突破。</w:t>
      </w:r>
    </w:p>
    <w:p w:rsidR="007E4C67" w:rsidRDefault="007E4C67" w:rsidP="00CA7997">
      <w:pPr>
        <w:spacing w:line="580" w:lineRule="exact"/>
        <w:ind w:firstLineChars="200" w:firstLine="643"/>
        <w:jc w:val="left"/>
        <w:rPr>
          <w:rFonts w:ascii="仿宋_GB2312" w:eastAsia="仿宋_GB2312"/>
          <w:color w:val="000000"/>
          <w:kern w:val="0"/>
          <w:sz w:val="32"/>
          <w:szCs w:val="32"/>
        </w:rPr>
      </w:pPr>
      <w:r>
        <w:rPr>
          <w:rFonts w:ascii="楷体_GB2312" w:eastAsia="楷体_GB2312" w:hAnsi="楷体_GB2312" w:cs="楷体_GB2312" w:hint="eastAsia"/>
          <w:b/>
          <w:bCs/>
          <w:kern w:val="18"/>
          <w:sz w:val="32"/>
          <w:szCs w:val="32"/>
        </w:rPr>
        <w:t>24、扎实推进学习型机关建设。</w:t>
      </w:r>
      <w:r>
        <w:rPr>
          <w:rFonts w:ascii="仿宋_GB2312" w:eastAsia="仿宋_GB2312" w:hint="eastAsia"/>
          <w:color w:val="000000"/>
          <w:kern w:val="0"/>
          <w:sz w:val="32"/>
          <w:szCs w:val="32"/>
        </w:rPr>
        <w:t>将深入学习贯彻习近平新时代中国特色社会主义思想与商务和投资促进工作结合，进一步领会把握丰富内涵和实践要求。巩固“不忘初心、牢记使命”主题教育成果，深入推进“两学一做”学习教育常态化制度化，提高运用党的创新理论指导实践的能力。充分利用灯塔-党建在线平台、学习强国平台、微信学习交流群等现代信息手段组织开展学习，搞好日常学习、心得研讨、党性教育等活动，组织开展庆七一红色教育活动，丰富机关党建教育形式。</w:t>
      </w:r>
    </w:p>
    <w:p w:rsidR="007E4C67" w:rsidRDefault="007E4C67" w:rsidP="00CA7997">
      <w:pPr>
        <w:spacing w:line="580" w:lineRule="exact"/>
        <w:ind w:firstLineChars="200" w:firstLine="643"/>
        <w:jc w:val="left"/>
        <w:rPr>
          <w:rFonts w:ascii="仿宋_GB2312" w:eastAsia="仿宋_GB2312"/>
          <w:color w:val="000000"/>
          <w:sz w:val="32"/>
          <w:szCs w:val="32"/>
        </w:rPr>
      </w:pPr>
      <w:r>
        <w:rPr>
          <w:rFonts w:ascii="楷体_GB2312" w:eastAsia="楷体_GB2312" w:hAnsi="楷体_GB2312" w:cs="楷体_GB2312" w:hint="eastAsia"/>
          <w:b/>
          <w:bCs/>
          <w:kern w:val="18"/>
          <w:sz w:val="32"/>
          <w:szCs w:val="32"/>
        </w:rPr>
        <w:t>25、规范组织生活。</w:t>
      </w:r>
      <w:r>
        <w:rPr>
          <w:rFonts w:ascii="仿宋_GB2312" w:eastAsia="仿宋_GB2312" w:hAnsi="仿宋" w:cs="宋体" w:hint="eastAsia"/>
          <w:bCs/>
          <w:color w:val="000000"/>
          <w:spacing w:val="-6"/>
          <w:kern w:val="0"/>
          <w:sz w:val="32"/>
          <w:szCs w:val="32"/>
        </w:rPr>
        <w:t>贯彻落实《中国共产党党和国家机关基层组织工作条例》《中国共产党党员教育管理工作条例》，打造机关党建品牌，</w:t>
      </w:r>
      <w:r>
        <w:rPr>
          <w:rFonts w:ascii="仿宋_GB2312" w:eastAsia="仿宋_GB2312" w:hAnsi="宋体" w:cs="宋体" w:hint="eastAsia"/>
          <w:color w:val="000000"/>
          <w:sz w:val="32"/>
          <w:szCs w:val="32"/>
          <w:shd w:val="clear" w:color="auto" w:fill="FFFFFF"/>
        </w:rPr>
        <w:t>严格落实“三会一课”、主题党日、组织生活会、民主评议党员、谈心谈话、党员领导干</w:t>
      </w:r>
      <w:r>
        <w:rPr>
          <w:rFonts w:ascii="仿宋_GB2312" w:eastAsia="仿宋_GB2312" w:hint="eastAsia"/>
          <w:color w:val="000000"/>
          <w:sz w:val="32"/>
          <w:szCs w:val="32"/>
        </w:rPr>
        <w:t>部参加双重组织生活等制度，推动全面从严治党落实到每个支部每名党员。做好党费收缴、使用和管理工作，扎实推进谈心交心工作机制常态化，严格落实“四必谈”工作制度，组织开展专项谈心交心活动，调动和保护党员干事创业积极性。</w:t>
      </w:r>
    </w:p>
    <w:p w:rsidR="007E4C67" w:rsidRDefault="007E4C67" w:rsidP="00CA7997">
      <w:pPr>
        <w:spacing w:line="580" w:lineRule="exact"/>
        <w:ind w:firstLineChars="200" w:firstLine="643"/>
        <w:jc w:val="left"/>
        <w:rPr>
          <w:rFonts w:ascii="仿宋_GB2312" w:eastAsia="仿宋_GB2312" w:hAnsi="宋体" w:cs="宋体"/>
          <w:color w:val="000000"/>
          <w:sz w:val="32"/>
          <w:szCs w:val="32"/>
          <w:shd w:val="clear" w:color="auto" w:fill="FFFFFF"/>
        </w:rPr>
      </w:pPr>
      <w:r>
        <w:rPr>
          <w:rFonts w:ascii="楷体_GB2312" w:eastAsia="楷体_GB2312" w:hAnsi="楷体_GB2312" w:cs="楷体_GB2312" w:hint="eastAsia"/>
          <w:b/>
          <w:bCs/>
          <w:kern w:val="18"/>
          <w:sz w:val="32"/>
          <w:szCs w:val="32"/>
        </w:rPr>
        <w:t>26、加强党风廉政建设。</w:t>
      </w:r>
      <w:r>
        <w:rPr>
          <w:rFonts w:ascii="仿宋_GB2312" w:eastAsia="仿宋_GB2312" w:hAnsi="宋体" w:cs="宋体" w:hint="eastAsia"/>
          <w:color w:val="000000"/>
          <w:sz w:val="32"/>
          <w:szCs w:val="32"/>
          <w:shd w:val="clear" w:color="auto" w:fill="FFFFFF"/>
        </w:rPr>
        <w:t>全面落实“一岗双责”主体责任，建立党组班子党建责任清单和党组班子全面从严治党责任清单，认真排查廉政风险点，加大政治风险的防控力度。认真组织开展党内法规学习专项活动，丰富党内法规学习宣传教育方式，将《中国共产党纪律检查机关监督执纪工作规则》《党组讨论和决定党员处分事项工作程序规定（试行）》等党纪党规</w:t>
      </w:r>
      <w:r>
        <w:rPr>
          <w:rFonts w:ascii="仿宋_GB2312" w:eastAsia="仿宋_GB2312" w:hAnsi="宋体" w:cs="宋体" w:hint="eastAsia"/>
          <w:color w:val="000000"/>
          <w:sz w:val="32"/>
          <w:szCs w:val="32"/>
          <w:shd w:val="clear" w:color="auto" w:fill="FFFFFF"/>
        </w:rPr>
        <w:lastRenderedPageBreak/>
        <w:t>的学习落到实处。深化运用监督执纪“四种形态”特别是第一种形态，及时开展谈话提醒活动，引导党员干部增强纪律意识、规矩意识。加大警示教育力度，增强党员守规矩讲纪律意识，让纪律规矩内化于心、外化于行，形成风清气正的政治生态。</w:t>
      </w:r>
    </w:p>
    <w:p w:rsidR="007E4C67" w:rsidRDefault="007E4C67" w:rsidP="00CA7997">
      <w:pPr>
        <w:spacing w:line="580" w:lineRule="exact"/>
        <w:ind w:firstLineChars="200" w:firstLine="643"/>
        <w:jc w:val="left"/>
        <w:rPr>
          <w:rFonts w:ascii="仿宋_GB2312" w:eastAsia="仿宋_GB2312" w:hAnsi="宋体" w:cs="宋体"/>
          <w:color w:val="000000"/>
          <w:sz w:val="32"/>
          <w:szCs w:val="32"/>
          <w:shd w:val="clear" w:color="auto" w:fill="FFFFFF"/>
        </w:rPr>
      </w:pPr>
      <w:r>
        <w:rPr>
          <w:rFonts w:ascii="楷体_GB2312" w:eastAsia="楷体_GB2312" w:hAnsi="楷体_GB2312" w:cs="楷体_GB2312" w:hint="eastAsia"/>
          <w:b/>
          <w:bCs/>
          <w:kern w:val="18"/>
          <w:sz w:val="32"/>
          <w:szCs w:val="32"/>
        </w:rPr>
        <w:t>27、充分发挥考核激励导向作用。</w:t>
      </w:r>
      <w:r>
        <w:rPr>
          <w:rFonts w:ascii="仿宋_GB2312" w:eastAsia="仿宋_GB2312" w:hAnsi="宋体" w:cs="宋体" w:hint="eastAsia"/>
          <w:color w:val="000000"/>
          <w:sz w:val="32"/>
          <w:szCs w:val="32"/>
          <w:shd w:val="clear" w:color="auto" w:fill="FFFFFF"/>
        </w:rPr>
        <w:t>盯紧局承担的枣庄考核目标任务，围绕全市经济工作会议、政府工作报告确定的重点任务，合理分解任务指标，建立重点指标月度考核通报机制，明弱项、促短板，层层传导压力。紧扣主要考核指标，适时召开商务和投资促进工作推进会，加强对镇街开展利用外资、外经贸、电子商务、批零住餐企业培育的督促指导，为商务和投资促进工作高质量发展提供坚强支撑。</w:t>
      </w:r>
    </w:p>
    <w:p w:rsidR="00504DC7" w:rsidRDefault="00504DC7" w:rsidP="00CA7997">
      <w:pPr>
        <w:spacing w:line="580" w:lineRule="exact"/>
        <w:ind w:firstLineChars="200" w:firstLine="640"/>
        <w:jc w:val="left"/>
        <w:rPr>
          <w:rFonts w:ascii="仿宋_GB2312" w:eastAsia="仿宋_GB2312" w:hAnsi="宋体" w:cs="宋体"/>
          <w:color w:val="000000"/>
          <w:sz w:val="32"/>
          <w:szCs w:val="32"/>
          <w:shd w:val="clear" w:color="auto" w:fill="FFFFFF"/>
        </w:rPr>
      </w:pPr>
    </w:p>
    <w:p w:rsidR="00CA7997" w:rsidRDefault="00CA7997" w:rsidP="00CA7997">
      <w:pPr>
        <w:spacing w:line="580" w:lineRule="exact"/>
        <w:ind w:firstLineChars="200" w:firstLine="640"/>
        <w:jc w:val="left"/>
        <w:rPr>
          <w:rFonts w:ascii="仿宋_GB2312" w:eastAsia="仿宋_GB2312" w:hAnsi="宋体" w:cs="宋体"/>
          <w:color w:val="000000"/>
          <w:sz w:val="32"/>
          <w:szCs w:val="32"/>
          <w:shd w:val="clear" w:color="auto" w:fill="FFFFFF"/>
        </w:rPr>
      </w:pPr>
    </w:p>
    <w:p w:rsidR="007E4C67" w:rsidRDefault="00504DC7" w:rsidP="00CA7997">
      <w:pPr>
        <w:spacing w:line="580" w:lineRule="exact"/>
        <w:ind w:firstLineChars="200" w:firstLine="640"/>
        <w:jc w:val="right"/>
        <w:rPr>
          <w:rFonts w:ascii="仿宋_GB2312" w:eastAsia="仿宋_GB2312"/>
          <w:sz w:val="32"/>
          <w:szCs w:val="32"/>
        </w:rPr>
      </w:pPr>
      <w:r>
        <w:rPr>
          <w:rFonts w:ascii="仿宋_GB2312" w:eastAsia="仿宋_GB2312" w:hint="eastAsia"/>
          <w:sz w:val="32"/>
          <w:szCs w:val="32"/>
        </w:rPr>
        <w:t>滕州市商务和投资促进局</w:t>
      </w:r>
    </w:p>
    <w:p w:rsidR="00504DC7" w:rsidRDefault="00504DC7" w:rsidP="00CA7997">
      <w:pPr>
        <w:spacing w:line="580" w:lineRule="exact"/>
        <w:ind w:firstLineChars="200" w:firstLine="640"/>
        <w:jc w:val="center"/>
        <w:rPr>
          <w:rFonts w:ascii="仿宋_GB2312" w:eastAsia="仿宋_GB2312" w:hAnsi="宋体" w:cs="宋体"/>
          <w:color w:val="000000"/>
          <w:sz w:val="32"/>
          <w:szCs w:val="32"/>
          <w:shd w:val="clear" w:color="auto" w:fill="FFFFFF"/>
        </w:rPr>
      </w:pPr>
      <w:r>
        <w:rPr>
          <w:rFonts w:ascii="仿宋_GB2312" w:eastAsia="仿宋_GB2312" w:hint="eastAsia"/>
          <w:sz w:val="32"/>
          <w:szCs w:val="32"/>
        </w:rPr>
        <w:t xml:space="preserve">                          2020年2月11日</w:t>
      </w:r>
    </w:p>
    <w:p w:rsidR="00504DC7" w:rsidRDefault="00504DC7" w:rsidP="009E5981">
      <w:pPr>
        <w:spacing w:line="600" w:lineRule="exact"/>
        <w:ind w:firstLineChars="200" w:firstLine="640"/>
        <w:jc w:val="right"/>
        <w:rPr>
          <w:rFonts w:eastAsia="仿宋_GB2312"/>
          <w:sz w:val="32"/>
          <w:szCs w:val="32"/>
        </w:rPr>
      </w:pPr>
    </w:p>
    <w:p w:rsidR="00504DC7" w:rsidRDefault="00504DC7" w:rsidP="009E5981">
      <w:pPr>
        <w:spacing w:line="600" w:lineRule="exact"/>
        <w:ind w:firstLineChars="200" w:firstLine="640"/>
        <w:jc w:val="right"/>
        <w:rPr>
          <w:rFonts w:eastAsia="仿宋_GB2312"/>
          <w:sz w:val="32"/>
          <w:szCs w:val="32"/>
        </w:rPr>
      </w:pPr>
    </w:p>
    <w:p w:rsidR="00CA7997" w:rsidRDefault="00CA7997" w:rsidP="009E5981">
      <w:pPr>
        <w:spacing w:line="600" w:lineRule="exact"/>
        <w:ind w:firstLineChars="200" w:firstLine="640"/>
        <w:jc w:val="right"/>
        <w:rPr>
          <w:rFonts w:eastAsia="仿宋_GB2312"/>
          <w:sz w:val="32"/>
          <w:szCs w:val="32"/>
        </w:rPr>
      </w:pPr>
    </w:p>
    <w:p w:rsidR="00CA7997" w:rsidRDefault="00CA7997" w:rsidP="009E5981">
      <w:pPr>
        <w:spacing w:line="600" w:lineRule="exact"/>
        <w:ind w:firstLineChars="200" w:firstLine="640"/>
        <w:jc w:val="right"/>
        <w:rPr>
          <w:rFonts w:eastAsia="仿宋_GB2312"/>
          <w:sz w:val="32"/>
          <w:szCs w:val="32"/>
        </w:rPr>
      </w:pPr>
    </w:p>
    <w:p w:rsidR="00CA7997" w:rsidRDefault="00CA7997" w:rsidP="009E5981">
      <w:pPr>
        <w:spacing w:line="600" w:lineRule="exact"/>
        <w:ind w:firstLineChars="200" w:firstLine="640"/>
        <w:jc w:val="right"/>
        <w:rPr>
          <w:rFonts w:eastAsia="仿宋_GB2312"/>
          <w:sz w:val="32"/>
          <w:szCs w:val="32"/>
        </w:rPr>
      </w:pPr>
    </w:p>
    <w:p w:rsidR="00083016" w:rsidRDefault="007E4C67" w:rsidP="009E5981">
      <w:pPr>
        <w:spacing w:line="600" w:lineRule="exact"/>
        <w:ind w:firstLineChars="200" w:firstLine="640"/>
        <w:jc w:val="right"/>
        <w:rPr>
          <w:rFonts w:ascii="仿宋_GB2312" w:eastAsia="仿宋_GB2312" w:hAnsi="宋体" w:cs="宋体"/>
          <w:color w:val="000000"/>
          <w:sz w:val="32"/>
          <w:szCs w:val="32"/>
          <w:shd w:val="clear" w:color="auto" w:fill="FFFFFF"/>
        </w:rPr>
      </w:pPr>
      <w:r>
        <w:rPr>
          <w:rFonts w:eastAsia="仿宋_GB2312" w:hint="eastAsia"/>
          <w:sz w:val="32"/>
          <w:szCs w:val="32"/>
        </w:rPr>
        <w:t xml:space="preserve">                             </w:t>
      </w:r>
    </w:p>
    <w:p w:rsidR="00DE2FEF" w:rsidRPr="00DE2FEF" w:rsidRDefault="00B703C7" w:rsidP="009E5981">
      <w:pPr>
        <w:ind w:firstLineChars="50" w:firstLine="105"/>
        <w:rPr>
          <w:rFonts w:ascii="方正小标宋简体" w:eastAsia="方正小标宋简体" w:hAnsi="方正小标宋简体"/>
          <w:sz w:val="44"/>
          <w:szCs w:val="44"/>
        </w:rPr>
      </w:pPr>
      <w:r w:rsidRPr="00B703C7">
        <w:pict>
          <v:line id="直线 14" o:spid="_x0000_s1027" style="position:absolute;left:0;text-align:left;flip:y;z-index:1" from="0,0" to="6in,.8pt" strokeweight="1.5pt"/>
        </w:pict>
      </w:r>
      <w:r w:rsidRPr="00B703C7">
        <w:pict>
          <v:line id="直线 15" o:spid="_x0000_s1028" style="position:absolute;left:0;text-align:left;z-index:2" from="0,31.2pt" to="6in,31.2pt" strokeweight="1.5pt"/>
        </w:pict>
      </w:r>
      <w:r w:rsidR="00DE2FEF">
        <w:rPr>
          <w:rFonts w:ascii="仿宋_GB2312" w:eastAsia="仿宋_GB2312" w:hint="eastAsia"/>
          <w:sz w:val="32"/>
          <w:szCs w:val="32"/>
        </w:rPr>
        <w:t>滕州市商务和投资促进局           2020年2月11日印发</w:t>
      </w:r>
    </w:p>
    <w:sectPr w:rsidR="00DE2FEF" w:rsidRPr="00DE2FEF" w:rsidSect="009E5981">
      <w:footerReference w:type="default" r:id="rId8"/>
      <w:pgSz w:w="11906" w:h="16838" w:code="9"/>
      <w:pgMar w:top="1701" w:right="1701" w:bottom="1701" w:left="1701" w:header="851" w:footer="1247"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7FA0" w:rsidRDefault="00BB7FA0" w:rsidP="00083016">
      <w:r>
        <w:separator/>
      </w:r>
    </w:p>
  </w:endnote>
  <w:endnote w:type="continuationSeparator" w:id="1">
    <w:p w:rsidR="00BB7FA0" w:rsidRDefault="00BB7FA0" w:rsidP="000830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Helvetica">
    <w:panose1 w:val="020B060402020203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_GB2312">
    <w:altName w:val="Times New Roman"/>
    <w:charset w:val="00"/>
    <w:family w:val="auto"/>
    <w:pitch w:val="default"/>
    <w:sig w:usb0="00000000"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华文仿宋">
    <w:panose1 w:val="02010600040101010101"/>
    <w:charset w:val="86"/>
    <w:family w:val="auto"/>
    <w:pitch w:val="variable"/>
    <w:sig w:usb0="00000287" w:usb1="080F0000" w:usb2="00000010" w:usb3="00000000" w:csb0="0004009F" w:csb1="00000000"/>
  </w:font>
  <w:font w:name="仿宋">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C67" w:rsidRPr="007E4C67" w:rsidRDefault="00B703C7">
    <w:pPr>
      <w:pStyle w:val="a3"/>
      <w:jc w:val="center"/>
      <w:rPr>
        <w:rFonts w:asciiTheme="minorEastAsia" w:eastAsiaTheme="minorEastAsia" w:hAnsiTheme="minorEastAsia"/>
        <w:sz w:val="24"/>
        <w:szCs w:val="24"/>
      </w:rPr>
    </w:pPr>
    <w:r w:rsidRPr="007E4C67">
      <w:rPr>
        <w:rFonts w:asciiTheme="minorEastAsia" w:eastAsiaTheme="minorEastAsia" w:hAnsiTheme="minorEastAsia"/>
        <w:sz w:val="24"/>
        <w:szCs w:val="24"/>
      </w:rPr>
      <w:fldChar w:fldCharType="begin"/>
    </w:r>
    <w:r w:rsidR="007E4C67" w:rsidRPr="007E4C67">
      <w:rPr>
        <w:rFonts w:asciiTheme="minorEastAsia" w:eastAsiaTheme="minorEastAsia" w:hAnsiTheme="minorEastAsia"/>
        <w:sz w:val="24"/>
        <w:szCs w:val="24"/>
      </w:rPr>
      <w:instrText xml:space="preserve"> PAGE   \* MERGEFORMAT </w:instrText>
    </w:r>
    <w:r w:rsidRPr="007E4C67">
      <w:rPr>
        <w:rFonts w:asciiTheme="minorEastAsia" w:eastAsiaTheme="minorEastAsia" w:hAnsiTheme="minorEastAsia"/>
        <w:sz w:val="24"/>
        <w:szCs w:val="24"/>
      </w:rPr>
      <w:fldChar w:fldCharType="separate"/>
    </w:r>
    <w:r w:rsidR="00112923" w:rsidRPr="00112923">
      <w:rPr>
        <w:rFonts w:asciiTheme="minorEastAsia" w:eastAsiaTheme="minorEastAsia" w:hAnsiTheme="minorEastAsia"/>
        <w:noProof/>
        <w:sz w:val="24"/>
        <w:szCs w:val="24"/>
        <w:lang w:val="zh-CN"/>
      </w:rPr>
      <w:t>-</w:t>
    </w:r>
    <w:r w:rsidR="00112923">
      <w:rPr>
        <w:rFonts w:asciiTheme="minorEastAsia" w:eastAsiaTheme="minorEastAsia" w:hAnsiTheme="minorEastAsia"/>
        <w:noProof/>
        <w:sz w:val="24"/>
        <w:szCs w:val="24"/>
      </w:rPr>
      <w:t xml:space="preserve"> 1 -</w:t>
    </w:r>
    <w:r w:rsidRPr="007E4C67">
      <w:rPr>
        <w:rFonts w:asciiTheme="minorEastAsia" w:eastAsiaTheme="minorEastAsia" w:hAnsiTheme="minorEastAsia"/>
        <w:sz w:val="24"/>
        <w:szCs w:val="24"/>
      </w:rPr>
      <w:fldChar w:fldCharType="end"/>
    </w:r>
  </w:p>
  <w:p w:rsidR="007E4C67" w:rsidRDefault="007E4C67">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7FA0" w:rsidRDefault="00BB7FA0" w:rsidP="00083016">
      <w:r>
        <w:separator/>
      </w:r>
    </w:p>
  </w:footnote>
  <w:footnote w:type="continuationSeparator" w:id="1">
    <w:p w:rsidR="00BB7FA0" w:rsidRDefault="00BB7FA0" w:rsidP="0008301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9C6FD6"/>
    <w:multiLevelType w:val="singleLevel"/>
    <w:tmpl w:val="799C6FD6"/>
    <w:lvl w:ilvl="0">
      <w:start w:val="2"/>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oNotTrackMoves/>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15362"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31DF348C"/>
    <w:rsid w:val="00003DD2"/>
    <w:rsid w:val="00066B17"/>
    <w:rsid w:val="00083016"/>
    <w:rsid w:val="00112923"/>
    <w:rsid w:val="00125E15"/>
    <w:rsid w:val="00151645"/>
    <w:rsid w:val="002319CA"/>
    <w:rsid w:val="00293B7C"/>
    <w:rsid w:val="00360214"/>
    <w:rsid w:val="004D7475"/>
    <w:rsid w:val="00504DC7"/>
    <w:rsid w:val="005C336E"/>
    <w:rsid w:val="006F5C8D"/>
    <w:rsid w:val="00702545"/>
    <w:rsid w:val="007041D5"/>
    <w:rsid w:val="007E4C67"/>
    <w:rsid w:val="00850E8E"/>
    <w:rsid w:val="009C20EF"/>
    <w:rsid w:val="009E5981"/>
    <w:rsid w:val="00A1518A"/>
    <w:rsid w:val="00A45FBD"/>
    <w:rsid w:val="00AC2015"/>
    <w:rsid w:val="00B11144"/>
    <w:rsid w:val="00B12CBE"/>
    <w:rsid w:val="00B703C7"/>
    <w:rsid w:val="00B81EEC"/>
    <w:rsid w:val="00BB7FA0"/>
    <w:rsid w:val="00CA7997"/>
    <w:rsid w:val="00D556D6"/>
    <w:rsid w:val="00DE2FEF"/>
    <w:rsid w:val="00ED2EC8"/>
    <w:rsid w:val="00EF2D8C"/>
    <w:rsid w:val="00F3346E"/>
    <w:rsid w:val="31DF348C"/>
    <w:rsid w:val="3DAB796A"/>
    <w:rsid w:val="60EC11F3"/>
  </w:rsids>
  <m:mathPr>
    <m:mathFont m:val="Cambria Math"/>
    <m:brkBin m:val="before"/>
    <m:brkBinSub m:val="--"/>
    <m:smallFrac/>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5362"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nhideWhenUsed="0"/>
    <w:lsdException w:name="caption" w:locked="1" w:uiPriority="0" w:qFormat="1"/>
    <w:lsdException w:name="page number" w:semiHidden="0" w:unhideWhenUsed="0"/>
    <w:lsdException w:name="Title" w:locked="1" w:semiHidden="0" w:uiPriority="0" w:unhideWhenUsed="0" w:qFormat="1"/>
    <w:lsdException w:name="Default Paragraph Font"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uiPriority="0"/>
    <w:lsdException w:name="Normal Table" w:qFormat="1"/>
    <w:lsdException w:name="Table Grid"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3016"/>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083016"/>
    <w:pPr>
      <w:tabs>
        <w:tab w:val="center" w:pos="4153"/>
        <w:tab w:val="right" w:pos="8306"/>
      </w:tabs>
      <w:snapToGrid w:val="0"/>
      <w:jc w:val="left"/>
    </w:pPr>
    <w:rPr>
      <w:sz w:val="18"/>
      <w:szCs w:val="18"/>
    </w:rPr>
  </w:style>
  <w:style w:type="paragraph" w:styleId="a4">
    <w:name w:val="header"/>
    <w:basedOn w:val="a"/>
    <w:link w:val="Char0"/>
    <w:uiPriority w:val="99"/>
    <w:rsid w:val="00083016"/>
    <w:pPr>
      <w:pBdr>
        <w:bottom w:val="single" w:sz="6" w:space="1" w:color="auto"/>
      </w:pBdr>
      <w:tabs>
        <w:tab w:val="center" w:pos="4153"/>
        <w:tab w:val="right" w:pos="8306"/>
      </w:tabs>
      <w:snapToGrid w:val="0"/>
      <w:jc w:val="center"/>
    </w:pPr>
    <w:rPr>
      <w:sz w:val="18"/>
      <w:szCs w:val="18"/>
    </w:rPr>
  </w:style>
  <w:style w:type="character" w:styleId="a5">
    <w:name w:val="page number"/>
    <w:basedOn w:val="a0"/>
    <w:uiPriority w:val="99"/>
    <w:rsid w:val="00083016"/>
  </w:style>
  <w:style w:type="table" w:styleId="a6">
    <w:name w:val="Table Grid"/>
    <w:basedOn w:val="a1"/>
    <w:uiPriority w:val="99"/>
    <w:rsid w:val="0008301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页脚 Char"/>
    <w:basedOn w:val="a0"/>
    <w:link w:val="a3"/>
    <w:uiPriority w:val="99"/>
    <w:rsid w:val="00083016"/>
    <w:rPr>
      <w:sz w:val="18"/>
      <w:szCs w:val="18"/>
    </w:rPr>
  </w:style>
  <w:style w:type="character" w:customStyle="1" w:styleId="Char0">
    <w:name w:val="页眉 Char"/>
    <w:basedOn w:val="a0"/>
    <w:link w:val="a4"/>
    <w:uiPriority w:val="99"/>
    <w:semiHidden/>
    <w:rsid w:val="00083016"/>
    <w:rPr>
      <w:sz w:val="18"/>
      <w:szCs w:val="18"/>
    </w:rPr>
  </w:style>
  <w:style w:type="character" w:customStyle="1" w:styleId="bumpedfont15">
    <w:name w:val="bumpedfont15"/>
    <w:basedOn w:val="a0"/>
    <w:qFormat/>
    <w:rsid w:val="007E4C67"/>
  </w:style>
  <w:style w:type="paragraph" w:styleId="a7">
    <w:name w:val="Normal (Web)"/>
    <w:basedOn w:val="a"/>
    <w:rsid w:val="007E4C67"/>
    <w:pPr>
      <w:widowControl/>
      <w:spacing w:before="100" w:beforeAutospacing="1" w:after="100" w:afterAutospacing="1"/>
      <w:jc w:val="left"/>
    </w:pPr>
    <w:rPr>
      <w:rFonts w:ascii="宋体" w:hAnsi="宋体" w:cs="宋体"/>
      <w:kern w:val="0"/>
      <w:sz w:val="24"/>
      <w:szCs w:val="24"/>
    </w:rPr>
  </w:style>
  <w:style w:type="paragraph" w:styleId="a8">
    <w:name w:val="Date"/>
    <w:basedOn w:val="a"/>
    <w:next w:val="a"/>
    <w:link w:val="Char1"/>
    <w:uiPriority w:val="99"/>
    <w:semiHidden/>
    <w:unhideWhenUsed/>
    <w:rsid w:val="00DE2FEF"/>
    <w:pPr>
      <w:ind w:leftChars="2500" w:left="100"/>
    </w:pPr>
  </w:style>
  <w:style w:type="character" w:customStyle="1" w:styleId="Char1">
    <w:name w:val="日期 Char"/>
    <w:basedOn w:val="a0"/>
    <w:link w:val="a8"/>
    <w:uiPriority w:val="99"/>
    <w:semiHidden/>
    <w:rsid w:val="00DE2FEF"/>
    <w:rPr>
      <w:kern w:val="2"/>
      <w:sz w:val="21"/>
      <w:szCs w:val="21"/>
    </w:rPr>
  </w:style>
</w:styles>
</file>

<file path=word/webSettings.xml><?xml version="1.0" encoding="utf-8"?>
<w:webSettings xmlns:r="http://schemas.openxmlformats.org/officeDocument/2006/relationships" xmlns:w="http://schemas.openxmlformats.org/wordprocessingml/2006/main">
  <w:divs>
    <w:div w:id="16966156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10</Pages>
  <Words>813</Words>
  <Characters>4636</Characters>
  <Application>Microsoft Office Word</Application>
  <DocSecurity>0</DocSecurity>
  <Lines>38</Lines>
  <Paragraphs>10</Paragraphs>
  <ScaleCrop>false</ScaleCrop>
  <Company>syyw</Company>
  <LinksUpToDate>false</LinksUpToDate>
  <CharactersWithSpaces>5439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张晓宇</dc:creator>
  <cp:lastModifiedBy>微软用户</cp:lastModifiedBy>
  <cp:revision>19</cp:revision>
  <cp:lastPrinted>2020-02-25T01:32:00Z</cp:lastPrinted>
  <dcterms:created xsi:type="dcterms:W3CDTF">2019-02-18T01:30:00Z</dcterms:created>
  <dcterms:modified xsi:type="dcterms:W3CDTF">2020-02-25T01:32:00Z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